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ED" w:rsidRPr="00C158ED" w:rsidRDefault="00EC7CED" w:rsidP="006C187A">
      <w:pPr>
        <w:rPr>
          <w:b/>
          <w:color w:val="000000" w:themeColor="text1"/>
          <w:sz w:val="28"/>
        </w:rPr>
      </w:pPr>
    </w:p>
    <w:p w:rsidR="00EC7CED" w:rsidRPr="00B71918" w:rsidRDefault="00CA0B53" w:rsidP="00A74A50">
      <w:pPr>
        <w:spacing w:line="360" w:lineRule="auto"/>
        <w:ind w:right="1695"/>
        <w:rPr>
          <w:b/>
          <w:color w:val="000000" w:themeColor="text1"/>
          <w:sz w:val="28"/>
        </w:rPr>
      </w:pPr>
      <w:r w:rsidRPr="00B71918">
        <w:rPr>
          <w:b/>
          <w:color w:val="000000" w:themeColor="text1"/>
          <w:sz w:val="28"/>
        </w:rPr>
        <w:t>TGW nombra a Nathan A. Wolf vicepresidente de Ventas del mercado norteamericano</w:t>
      </w:r>
    </w:p>
    <w:p w:rsidR="00CA0B53" w:rsidRPr="00B71918" w:rsidRDefault="00CA0B53" w:rsidP="00A74A50">
      <w:pPr>
        <w:spacing w:line="360" w:lineRule="auto"/>
        <w:ind w:right="1695"/>
        <w:rPr>
          <w:b/>
          <w:color w:val="000000" w:themeColor="text1"/>
          <w:sz w:val="28"/>
        </w:rPr>
      </w:pPr>
    </w:p>
    <w:p w:rsidR="00570302" w:rsidRPr="00B71918" w:rsidRDefault="00570302" w:rsidP="00A74A50">
      <w:pPr>
        <w:pStyle w:val="ListParagraph"/>
        <w:numPr>
          <w:ilvl w:val="0"/>
          <w:numId w:val="8"/>
        </w:numPr>
        <w:spacing w:line="360" w:lineRule="auto"/>
        <w:ind w:right="1695"/>
        <w:rPr>
          <w:b/>
          <w:color w:val="000000" w:themeColor="text1"/>
          <w:sz w:val="24"/>
          <w:szCs w:val="24"/>
        </w:rPr>
      </w:pPr>
      <w:r w:rsidRPr="00B71918">
        <w:rPr>
          <w:b/>
          <w:color w:val="000000" w:themeColor="text1"/>
          <w:sz w:val="24"/>
          <w:szCs w:val="24"/>
        </w:rPr>
        <w:t>Nathan A. Wolf responsable de todas las actividades de Ventas</w:t>
      </w:r>
    </w:p>
    <w:p w:rsidR="00EC7CED" w:rsidRPr="00B71918" w:rsidRDefault="00570302" w:rsidP="00A74A50">
      <w:pPr>
        <w:pStyle w:val="ListParagraph"/>
        <w:numPr>
          <w:ilvl w:val="0"/>
          <w:numId w:val="8"/>
        </w:numPr>
        <w:spacing w:line="360" w:lineRule="auto"/>
        <w:ind w:right="1695"/>
        <w:rPr>
          <w:b/>
          <w:color w:val="000000" w:themeColor="text1"/>
          <w:sz w:val="24"/>
          <w:szCs w:val="24"/>
        </w:rPr>
      </w:pPr>
      <w:r w:rsidRPr="00B71918">
        <w:rPr>
          <w:b/>
          <w:color w:val="000000" w:themeColor="text1"/>
          <w:sz w:val="24"/>
          <w:szCs w:val="24"/>
        </w:rPr>
        <w:t>Reforzando la posición de TGW como "socio predilecto"</w:t>
      </w:r>
    </w:p>
    <w:p w:rsidR="00D91C2A" w:rsidRPr="00B71918" w:rsidRDefault="00E95B59" w:rsidP="00A74A50">
      <w:pPr>
        <w:pStyle w:val="ListParagraph"/>
        <w:numPr>
          <w:ilvl w:val="0"/>
          <w:numId w:val="8"/>
        </w:numPr>
        <w:spacing w:line="360" w:lineRule="auto"/>
        <w:ind w:right="1695"/>
        <w:rPr>
          <w:b/>
          <w:color w:val="000000" w:themeColor="text1"/>
          <w:sz w:val="24"/>
          <w:szCs w:val="24"/>
        </w:rPr>
      </w:pPr>
      <w:r w:rsidRPr="00B71918">
        <w:rPr>
          <w:b/>
          <w:color w:val="000000" w:themeColor="text1"/>
          <w:sz w:val="24"/>
          <w:szCs w:val="24"/>
        </w:rPr>
        <w:t xml:space="preserve">Una dilatada experiencia en dirección y amplios conocimientos de la industria </w:t>
      </w:r>
    </w:p>
    <w:p w:rsidR="003941A1" w:rsidRPr="00B71918" w:rsidRDefault="003941A1" w:rsidP="00A74A50">
      <w:pPr>
        <w:spacing w:line="360" w:lineRule="auto"/>
        <w:ind w:right="1695"/>
        <w:rPr>
          <w:b/>
          <w:color w:val="000000" w:themeColor="text1"/>
          <w:sz w:val="22"/>
          <w:szCs w:val="24"/>
        </w:rPr>
      </w:pPr>
    </w:p>
    <w:p w:rsidR="00D91C2A" w:rsidRPr="00B71918" w:rsidRDefault="00D91C2A" w:rsidP="00A74A50">
      <w:pPr>
        <w:spacing w:line="360" w:lineRule="auto"/>
        <w:ind w:right="1695"/>
        <w:rPr>
          <w:b/>
          <w:color w:val="000000" w:themeColor="text1"/>
          <w:sz w:val="22"/>
          <w:szCs w:val="24"/>
        </w:rPr>
      </w:pPr>
      <w:r w:rsidRPr="00B71918">
        <w:rPr>
          <w:b/>
          <w:color w:val="000000" w:themeColor="text1"/>
          <w:sz w:val="22"/>
          <w:szCs w:val="24"/>
        </w:rPr>
        <w:t xml:space="preserve">(Grand Rapids, MI, </w:t>
      </w:r>
      <w:r w:rsidR="00B71918" w:rsidRPr="00B71918">
        <w:rPr>
          <w:b/>
          <w:color w:val="000000" w:themeColor="text1"/>
          <w:sz w:val="22"/>
          <w:szCs w:val="24"/>
        </w:rPr>
        <w:t>20</w:t>
      </w:r>
      <w:r w:rsidRPr="00B71918">
        <w:rPr>
          <w:b/>
          <w:color w:val="000000" w:themeColor="text1"/>
          <w:sz w:val="22"/>
          <w:szCs w:val="24"/>
        </w:rPr>
        <w:t xml:space="preserve"> de septiembre de 2021)  TGW, integrador de sistemas líder en soluciones automatizadas para almacenes, ha anunciado hoy el nombramiento de Nathan A. Wolf como vicepresidente de Ventas del mercado norteamericano</w:t>
      </w:r>
      <w:r w:rsidR="00914EC1">
        <w:rPr>
          <w:b/>
          <w:color w:val="000000" w:themeColor="text1"/>
          <w:sz w:val="22"/>
          <w:szCs w:val="24"/>
        </w:rPr>
        <w:t>.</w:t>
      </w:r>
      <w:bookmarkStart w:id="0" w:name="_GoBack"/>
      <w:bookmarkEnd w:id="0"/>
      <w:r w:rsidRPr="00B71918">
        <w:rPr>
          <w:b/>
          <w:color w:val="000000" w:themeColor="text1"/>
          <w:sz w:val="22"/>
          <w:szCs w:val="24"/>
        </w:rPr>
        <w:t xml:space="preserve"> En esta función, Nathan liderará el equipo responsable de las relaciones con clientes y las actividades de ventas, al tiempo que dirigirá el constante crecimiento de la organización.</w:t>
      </w:r>
    </w:p>
    <w:p w:rsidR="00D91C2A" w:rsidRPr="00B71918" w:rsidRDefault="00D91C2A" w:rsidP="00A74A50">
      <w:pPr>
        <w:spacing w:line="360" w:lineRule="auto"/>
        <w:ind w:right="1695"/>
        <w:rPr>
          <w:b/>
          <w:color w:val="000000" w:themeColor="text1"/>
          <w:sz w:val="22"/>
          <w:szCs w:val="24"/>
        </w:rPr>
      </w:pPr>
    </w:p>
    <w:p w:rsidR="00D91C2A" w:rsidRPr="00B71918" w:rsidRDefault="0080061B" w:rsidP="00A74A50">
      <w:pPr>
        <w:spacing w:line="360" w:lineRule="auto"/>
        <w:ind w:right="1695"/>
        <w:rPr>
          <w:color w:val="000000" w:themeColor="text1"/>
          <w:sz w:val="22"/>
          <w:szCs w:val="24"/>
        </w:rPr>
      </w:pPr>
      <w:r w:rsidRPr="00B71918">
        <w:rPr>
          <w:color w:val="000000" w:themeColor="text1"/>
          <w:sz w:val="22"/>
          <w:szCs w:val="24"/>
        </w:rPr>
        <w:t xml:space="preserve">“Las competencias y el conocimiento de la industria de </w:t>
      </w:r>
      <w:r w:rsidRPr="00B71918">
        <w:rPr>
          <w:i/>
          <w:color w:val="000000" w:themeColor="text1"/>
          <w:sz w:val="22"/>
          <w:szCs w:val="24"/>
        </w:rPr>
        <w:t>Nathan ayudarán a TGW a mejorar aún más la experiencia de nuestros clientes y a continuar el crecimiento de la empresa. Estará el frente del equipo responsable de todas las actividades de ventas y espero aprovechar sus conocimientos para posicionar a TGW como socio predilecto en la industria"</w:t>
      </w:r>
      <w:r w:rsidRPr="00B71918">
        <w:rPr>
          <w:color w:val="000000" w:themeColor="text1"/>
          <w:sz w:val="22"/>
          <w:szCs w:val="24"/>
        </w:rPr>
        <w:t>, dijo Chad Zollman, director de Ventas de TGW Norteamérica.</w:t>
      </w:r>
    </w:p>
    <w:p w:rsidR="001E3254" w:rsidRPr="00B71918" w:rsidRDefault="001E3254" w:rsidP="00A74A50">
      <w:pPr>
        <w:spacing w:line="360" w:lineRule="auto"/>
        <w:ind w:right="1695"/>
        <w:rPr>
          <w:color w:val="000000" w:themeColor="text1"/>
          <w:sz w:val="22"/>
          <w:szCs w:val="24"/>
        </w:rPr>
      </w:pPr>
    </w:p>
    <w:p w:rsidR="00B51F11" w:rsidRPr="00B71918" w:rsidRDefault="00D656AB" w:rsidP="00A74A50">
      <w:pPr>
        <w:spacing w:line="360" w:lineRule="auto"/>
        <w:ind w:right="1695"/>
        <w:rPr>
          <w:color w:val="000000" w:themeColor="text1"/>
          <w:sz w:val="22"/>
          <w:szCs w:val="24"/>
        </w:rPr>
      </w:pPr>
      <w:r w:rsidRPr="00B71918">
        <w:rPr>
          <w:color w:val="000000" w:themeColor="text1"/>
          <w:sz w:val="22"/>
          <w:szCs w:val="24"/>
        </w:rPr>
        <w:t xml:space="preserve">Nathan se une a TGW tras dejar Plascore Inc. Zeeland, donde dirigía una unidad de negocio. Previamente, ha ocupado cargos directivos en Dematic y Amstore. Nathan estudió en la Grand Valley State University y cuenta con un máster en Administración de Empresas. </w:t>
      </w:r>
    </w:p>
    <w:p w:rsidR="001B5728" w:rsidRPr="00B71918" w:rsidRDefault="001B5728" w:rsidP="00A74A50">
      <w:pPr>
        <w:spacing w:line="360" w:lineRule="auto"/>
        <w:ind w:right="1695"/>
        <w:rPr>
          <w:color w:val="000000" w:themeColor="text1"/>
          <w:sz w:val="22"/>
          <w:szCs w:val="24"/>
        </w:rPr>
      </w:pPr>
    </w:p>
    <w:p w:rsidR="002C3574" w:rsidRPr="00B71918" w:rsidRDefault="002C3574" w:rsidP="00A74A50">
      <w:pPr>
        <w:spacing w:line="360" w:lineRule="auto"/>
        <w:ind w:right="1695"/>
        <w:rPr>
          <w:color w:val="000000" w:themeColor="text1"/>
          <w:sz w:val="22"/>
          <w:szCs w:val="24"/>
        </w:rPr>
      </w:pPr>
    </w:p>
    <w:p w:rsidR="00570302" w:rsidRPr="00B71918" w:rsidRDefault="00570302" w:rsidP="001E3254">
      <w:pPr>
        <w:rPr>
          <w:color w:val="000000" w:themeColor="text1"/>
          <w:sz w:val="22"/>
          <w:szCs w:val="24"/>
        </w:rPr>
      </w:pPr>
    </w:p>
    <w:p w:rsidR="00570302" w:rsidRPr="00B71918" w:rsidRDefault="00570302" w:rsidP="001E3254">
      <w:pPr>
        <w:rPr>
          <w:color w:val="000000" w:themeColor="text1"/>
          <w:sz w:val="22"/>
          <w:szCs w:val="24"/>
        </w:rPr>
      </w:pPr>
    </w:p>
    <w:p w:rsidR="00A74A50" w:rsidRPr="00B71918" w:rsidRDefault="00A74A50" w:rsidP="002C3574">
      <w:pPr>
        <w:spacing w:line="360" w:lineRule="auto"/>
        <w:ind w:right="1693"/>
      </w:pPr>
    </w:p>
    <w:p w:rsidR="002C3574" w:rsidRPr="00B71918" w:rsidRDefault="00914EC1" w:rsidP="002C3574">
      <w:pPr>
        <w:spacing w:line="360" w:lineRule="auto"/>
        <w:ind w:right="1693"/>
      </w:pPr>
      <w:hyperlink r:id="rId8" w:history="1">
        <w:r w:rsidR="002D1248" w:rsidRPr="00B71918">
          <w:rPr>
            <w:rStyle w:val="Hyperlink"/>
          </w:rPr>
          <w:t>www.tgw-group.com</w:t>
        </w:r>
      </w:hyperlink>
    </w:p>
    <w:p w:rsidR="002C3574" w:rsidRPr="00B71918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</w:p>
    <w:p w:rsidR="002C3574" w:rsidRPr="00B71918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B71918">
        <w:rPr>
          <w:rStyle w:val="Hyperlink"/>
          <w:b/>
          <w:color w:val="auto"/>
          <w:u w:val="none"/>
        </w:rPr>
        <w:t>Acerca de TGW Logistics Group: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B71918">
        <w:rPr>
          <w:rStyle w:val="Hyperlink"/>
          <w:color w:val="auto"/>
          <w:u w:val="none"/>
        </w:rPr>
        <w:lastRenderedPageBreak/>
        <w:t xml:space="preserve">TGW Logistics Group es un integrador de sistemas líder en soluciones automatizadas para almacenes. Con más de 50 años de experiencia, el especialista en automatización diseña, fabrica, implementa y mantiene soluciones integrales de cumplimiento para marcas como Urban Outfitters, the Gap o TVH. 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B71918">
        <w:rPr>
          <w:rStyle w:val="Hyperlink"/>
          <w:color w:val="auto"/>
          <w:u w:val="none"/>
        </w:rPr>
        <w:t>TGW Logistics Group tiene filiales en EE. UU., Europa y China, y cuenta con más de 3700 empleados en todo el mundo.  En el ejercicio 2019/20, la fundación empresarial generó una facturación total de 960 millones de dólares estadounidenses.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B71918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B71918">
        <w:rPr>
          <w:rStyle w:val="Hyperlink"/>
          <w:b/>
          <w:color w:val="auto"/>
          <w:u w:val="none"/>
        </w:rPr>
        <w:t>Imágenes: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B71918">
        <w:rPr>
          <w:rStyle w:val="Hyperlink"/>
          <w:color w:val="auto"/>
          <w:u w:val="none"/>
        </w:rPr>
        <w:t>Reproducción sin comisiones previa indicación de la fuente y para notas de prensa relacionadas principalmente con TGW Logistics Group GmbH.  Queda prohibida la reproducción con fines promocionales.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B71918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B71918">
        <w:rPr>
          <w:rStyle w:val="Hyperlink"/>
          <w:b/>
          <w:color w:val="auto"/>
          <w:u w:val="none"/>
        </w:rPr>
        <w:t>Contacto: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B71918">
        <w:rPr>
          <w:rStyle w:val="Hyperlink"/>
          <w:color w:val="auto"/>
          <w:u w:val="none"/>
        </w:rPr>
        <w:t>TGW Systems Inc.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B71918">
        <w:rPr>
          <w:rStyle w:val="Hyperlink"/>
          <w:color w:val="auto"/>
          <w:u w:val="none"/>
        </w:rPr>
        <w:t>3001 Orchard Vista Dr SE STE 300, Grand Rapids, MI 49546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B71918">
        <w:rPr>
          <w:rStyle w:val="Hyperlink"/>
          <w:color w:val="auto"/>
          <w:u w:val="none"/>
        </w:rPr>
        <w:t>T: 616-970-7163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B71918">
        <w:rPr>
          <w:rStyle w:val="Hyperlink"/>
          <w:color w:val="auto"/>
          <w:u w:val="none"/>
        </w:rPr>
        <w:t>tgw@tgw-group.com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B71918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</w:p>
    <w:p w:rsidR="002C3574" w:rsidRPr="00B71918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B71918">
        <w:rPr>
          <w:rStyle w:val="Hyperlink"/>
          <w:b/>
          <w:color w:val="auto"/>
          <w:u w:val="none"/>
        </w:rPr>
        <w:t>Contacto de prensa, TGW Norteamérica: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B71918">
        <w:rPr>
          <w:rStyle w:val="Hyperlink"/>
          <w:color w:val="auto"/>
          <w:u w:val="none"/>
        </w:rPr>
        <w:t>Lisa Weilharter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B71918">
        <w:rPr>
          <w:rStyle w:val="Hyperlink"/>
          <w:color w:val="auto"/>
          <w:u w:val="none"/>
        </w:rPr>
        <w:t>Especialista de marketing</w:t>
      </w:r>
    </w:p>
    <w:p w:rsidR="002C3574" w:rsidRPr="00B71918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B71918">
        <w:rPr>
          <w:rStyle w:val="Hyperlink"/>
          <w:color w:val="auto"/>
          <w:u w:val="none"/>
        </w:rPr>
        <w:t>T: 616-970-7163</w:t>
      </w:r>
    </w:p>
    <w:p w:rsidR="006C160E" w:rsidRPr="002C3574" w:rsidRDefault="002C3574" w:rsidP="005B5B26">
      <w:pPr>
        <w:spacing w:line="240" w:lineRule="auto"/>
        <w:ind w:right="1693"/>
        <w:rPr>
          <w:b/>
        </w:rPr>
      </w:pPr>
      <w:r w:rsidRPr="00B71918">
        <w:rPr>
          <w:rStyle w:val="Hyperlink"/>
          <w:color w:val="auto"/>
          <w:u w:val="none"/>
        </w:rPr>
        <w:t>lisa.weilharter@tgw-group.com</w:t>
      </w:r>
    </w:p>
    <w:sectPr w:rsidR="006C160E" w:rsidRPr="002C3574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9A" w:rsidRDefault="002F609A" w:rsidP="00764006">
      <w:pPr>
        <w:spacing w:line="240" w:lineRule="auto"/>
      </w:pPr>
      <w:r>
        <w:separator/>
      </w:r>
    </w:p>
  </w:endnote>
  <w:endnote w:type="continuationSeparator" w:id="0">
    <w:p w:rsidR="002F609A" w:rsidRDefault="002F609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914EC1">
            <w:rPr>
              <w:noProof/>
              <w:sz w:val="16"/>
              <w:szCs w:val="16"/>
            </w:rPr>
            <w:t>2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914EC1">
            <w:rPr>
              <w:noProof/>
              <w:sz w:val="16"/>
              <w:szCs w:val="16"/>
            </w:rPr>
            <w:t>2</w:t>
          </w:r>
          <w: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9A" w:rsidRDefault="002F609A" w:rsidP="00764006">
      <w:pPr>
        <w:spacing w:line="240" w:lineRule="auto"/>
      </w:pPr>
      <w:r>
        <w:separator/>
      </w:r>
    </w:p>
  </w:footnote>
  <w:footnote w:type="continuationSeparator" w:id="0">
    <w:p w:rsidR="002F609A" w:rsidRDefault="002F609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ED" w:rsidRDefault="00EC7CED" w:rsidP="00EC7CED">
    <w:pPr>
      <w:pStyle w:val="Header"/>
      <w:jc w:val="left"/>
      <w:rPr>
        <w:color w:val="C00418" w:themeColor="accent1"/>
        <w:sz w:val="44"/>
      </w:rPr>
    </w:pPr>
  </w:p>
  <w:p w:rsidR="00585363" w:rsidRDefault="00585363" w:rsidP="00EC7CED">
    <w:pPr>
      <w:pStyle w:val="Header"/>
      <w:jc w:val="lef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632CCAF" wp14:editId="05E3198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C00418" w:themeColor="accent1"/>
        <w:sz w:val="44"/>
      </w:rPr>
      <w:t>Comunicado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732B72"/>
    <w:multiLevelType w:val="hybridMultilevel"/>
    <w:tmpl w:val="B958D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A6B852DE"/>
    <w:lvl w:ilvl="0" w:tplc="88CA190C">
      <w:start w:val="1"/>
      <w:numFmt w:val="bullet"/>
      <w:pStyle w:val="Listenebene1mitEinzug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147DC6"/>
    <w:multiLevelType w:val="hybridMultilevel"/>
    <w:tmpl w:val="F38A7AEC"/>
    <w:lvl w:ilvl="0" w:tplc="4C0E3AAC">
      <w:start w:val="1"/>
      <w:numFmt w:val="bullet"/>
      <w:pStyle w:val="Listenebene2mitEinzug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D240436"/>
    <w:multiLevelType w:val="hybridMultilevel"/>
    <w:tmpl w:val="B31CC2A0"/>
    <w:lvl w:ilvl="0" w:tplc="F6ACC3FE">
      <w:start w:val="1"/>
      <w:numFmt w:val="bullet"/>
      <w:pStyle w:val="Listenebene3mitEinzug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ED"/>
    <w:rsid w:val="00005F2B"/>
    <w:rsid w:val="00015103"/>
    <w:rsid w:val="00017E6B"/>
    <w:rsid w:val="00045F47"/>
    <w:rsid w:val="000852FA"/>
    <w:rsid w:val="000B3670"/>
    <w:rsid w:val="000B65C7"/>
    <w:rsid w:val="000C38EE"/>
    <w:rsid w:val="000F7849"/>
    <w:rsid w:val="001124BA"/>
    <w:rsid w:val="001135AB"/>
    <w:rsid w:val="001203B4"/>
    <w:rsid w:val="00151450"/>
    <w:rsid w:val="0016733B"/>
    <w:rsid w:val="00196D5E"/>
    <w:rsid w:val="001A6E46"/>
    <w:rsid w:val="001B06AB"/>
    <w:rsid w:val="001B2FE0"/>
    <w:rsid w:val="001B5728"/>
    <w:rsid w:val="001C1838"/>
    <w:rsid w:val="001E3254"/>
    <w:rsid w:val="001E4EA5"/>
    <w:rsid w:val="001F2A46"/>
    <w:rsid w:val="001F56DB"/>
    <w:rsid w:val="00205949"/>
    <w:rsid w:val="00211538"/>
    <w:rsid w:val="0026487A"/>
    <w:rsid w:val="0027633B"/>
    <w:rsid w:val="002C053C"/>
    <w:rsid w:val="002C3574"/>
    <w:rsid w:val="002D1248"/>
    <w:rsid w:val="002F609A"/>
    <w:rsid w:val="00353A88"/>
    <w:rsid w:val="00364147"/>
    <w:rsid w:val="00367F43"/>
    <w:rsid w:val="00377F06"/>
    <w:rsid w:val="003941A1"/>
    <w:rsid w:val="003D27F8"/>
    <w:rsid w:val="003E19C4"/>
    <w:rsid w:val="004022C2"/>
    <w:rsid w:val="00427466"/>
    <w:rsid w:val="00456A9F"/>
    <w:rsid w:val="004832B0"/>
    <w:rsid w:val="0050536C"/>
    <w:rsid w:val="005227E5"/>
    <w:rsid w:val="00536FA1"/>
    <w:rsid w:val="00570302"/>
    <w:rsid w:val="00585363"/>
    <w:rsid w:val="005B4CE9"/>
    <w:rsid w:val="005B5B26"/>
    <w:rsid w:val="005B61C9"/>
    <w:rsid w:val="005B7DA6"/>
    <w:rsid w:val="005D71EC"/>
    <w:rsid w:val="005E5D66"/>
    <w:rsid w:val="0064131D"/>
    <w:rsid w:val="00665EEE"/>
    <w:rsid w:val="00676996"/>
    <w:rsid w:val="00677B13"/>
    <w:rsid w:val="006C160E"/>
    <w:rsid w:val="006C187A"/>
    <w:rsid w:val="006D42EC"/>
    <w:rsid w:val="00701DDE"/>
    <w:rsid w:val="00722F26"/>
    <w:rsid w:val="00723042"/>
    <w:rsid w:val="007344D8"/>
    <w:rsid w:val="007502BB"/>
    <w:rsid w:val="00760A2F"/>
    <w:rsid w:val="00764006"/>
    <w:rsid w:val="007B594E"/>
    <w:rsid w:val="007D0E42"/>
    <w:rsid w:val="007F0400"/>
    <w:rsid w:val="0080061B"/>
    <w:rsid w:val="00812A0F"/>
    <w:rsid w:val="00812E4D"/>
    <w:rsid w:val="00821633"/>
    <w:rsid w:val="0082184B"/>
    <w:rsid w:val="00821B99"/>
    <w:rsid w:val="00824706"/>
    <w:rsid w:val="00860E96"/>
    <w:rsid w:val="00896C15"/>
    <w:rsid w:val="008C4309"/>
    <w:rsid w:val="008C5496"/>
    <w:rsid w:val="008C62E5"/>
    <w:rsid w:val="008E06A8"/>
    <w:rsid w:val="008F2C49"/>
    <w:rsid w:val="009078C5"/>
    <w:rsid w:val="009114BB"/>
    <w:rsid w:val="00914EC1"/>
    <w:rsid w:val="009668E1"/>
    <w:rsid w:val="0098058A"/>
    <w:rsid w:val="009A0524"/>
    <w:rsid w:val="009A5752"/>
    <w:rsid w:val="009C12DD"/>
    <w:rsid w:val="009D1BC4"/>
    <w:rsid w:val="00A2616F"/>
    <w:rsid w:val="00A43E71"/>
    <w:rsid w:val="00A47D56"/>
    <w:rsid w:val="00A510C0"/>
    <w:rsid w:val="00A57538"/>
    <w:rsid w:val="00A74A50"/>
    <w:rsid w:val="00AB08FB"/>
    <w:rsid w:val="00AB2B3A"/>
    <w:rsid w:val="00AD3796"/>
    <w:rsid w:val="00AF2210"/>
    <w:rsid w:val="00B03B65"/>
    <w:rsid w:val="00B06010"/>
    <w:rsid w:val="00B249DB"/>
    <w:rsid w:val="00B51F11"/>
    <w:rsid w:val="00B529B8"/>
    <w:rsid w:val="00B6590E"/>
    <w:rsid w:val="00B71918"/>
    <w:rsid w:val="00C158ED"/>
    <w:rsid w:val="00C16447"/>
    <w:rsid w:val="00C22048"/>
    <w:rsid w:val="00C338EE"/>
    <w:rsid w:val="00C424EA"/>
    <w:rsid w:val="00CA0B53"/>
    <w:rsid w:val="00CC6DA6"/>
    <w:rsid w:val="00D656AB"/>
    <w:rsid w:val="00D91C2A"/>
    <w:rsid w:val="00D92EC2"/>
    <w:rsid w:val="00DA7496"/>
    <w:rsid w:val="00DB5FB5"/>
    <w:rsid w:val="00DF270B"/>
    <w:rsid w:val="00DF36AC"/>
    <w:rsid w:val="00DF6D64"/>
    <w:rsid w:val="00E131D0"/>
    <w:rsid w:val="00E21D57"/>
    <w:rsid w:val="00E221B1"/>
    <w:rsid w:val="00E32F45"/>
    <w:rsid w:val="00E37FC2"/>
    <w:rsid w:val="00E52190"/>
    <w:rsid w:val="00E66E08"/>
    <w:rsid w:val="00E95B59"/>
    <w:rsid w:val="00EC7CED"/>
    <w:rsid w:val="00F02A2C"/>
    <w:rsid w:val="00F06DBA"/>
    <w:rsid w:val="00F359AC"/>
    <w:rsid w:val="00F96640"/>
    <w:rsid w:val="00FB0EAC"/>
    <w:rsid w:val="00FD25D7"/>
    <w:rsid w:val="00FF0CAB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D739B6"/>
  <w15:chartTrackingRefBased/>
  <w15:docId w15:val="{DFC53F0F-8CC7-4A6C-8E8F-83F838C9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7A"/>
    <w:pPr>
      <w:spacing w:after="0" w:line="312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TextmitEinzug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TextmitEinzug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TextmitEinzug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TextmitEinzug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mitEinzug">
    <w:name w:val="Text mit Einzug"/>
    <w:basedOn w:val="Normal"/>
    <w:link w:val="TextmitEinzugZchn"/>
    <w:qFormat/>
    <w:rsid w:val="006C187A"/>
    <w:pPr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mit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  <w:ind w:left="851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mitEinzug"/>
    <w:link w:val="TitleChar"/>
    <w:uiPriority w:val="10"/>
    <w:qFormat/>
    <w:rsid w:val="00015103"/>
    <w:pPr>
      <w:spacing w:line="240" w:lineRule="auto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mitEinzug">
    <w:name w:val="Listenebene 1 mit Einzug"/>
    <w:basedOn w:val="ListParagraph"/>
    <w:link w:val="Listenebene1mitEinzugZchn"/>
    <w:qFormat/>
    <w:rsid w:val="00FD25D7"/>
    <w:pPr>
      <w:numPr>
        <w:numId w:val="2"/>
      </w:numPr>
    </w:pPr>
  </w:style>
  <w:style w:type="paragraph" w:customStyle="1" w:styleId="Listenebene2mitEinzug">
    <w:name w:val="Listenebene 2 mit Einzug"/>
    <w:basedOn w:val="Listenebene1mitEinzug"/>
    <w:link w:val="Listenebene2mitEinzug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mitEinzugZchn">
    <w:name w:val="Listenebene 1 mit Einzug Zchn"/>
    <w:basedOn w:val="ListParagraphChar"/>
    <w:link w:val="Listenebene1mitEinzug"/>
    <w:rsid w:val="00FD25D7"/>
    <w:rPr>
      <w:rFonts w:ascii="Arial" w:hAnsi="Arial"/>
      <w:sz w:val="20"/>
    </w:rPr>
  </w:style>
  <w:style w:type="paragraph" w:customStyle="1" w:styleId="Listenebene3mitEinzug">
    <w:name w:val="Listenebene 3 mit Einzug"/>
    <w:basedOn w:val="Listenebene1mitEinzug"/>
    <w:link w:val="Listenebene3mitEinzugZchn"/>
    <w:qFormat/>
    <w:rsid w:val="00DF36AC"/>
    <w:pPr>
      <w:numPr>
        <w:numId w:val="4"/>
      </w:numPr>
    </w:pPr>
  </w:style>
  <w:style w:type="character" w:customStyle="1" w:styleId="Listenebene2mitEinzugZchn">
    <w:name w:val="Listenebene 2 mit Einzug Zchn"/>
    <w:basedOn w:val="Listenebene1mitEinzugZchn"/>
    <w:link w:val="Listenebene2mitEinzug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mitEinzugZchn">
    <w:name w:val="Listenebene 3 mit Einzug Zchn"/>
    <w:basedOn w:val="Listenebene1mitEinzugZchn"/>
    <w:link w:val="Listenebene3mitEinzug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mitEinzug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mitEinzugZchn">
    <w:name w:val="Text mit Einzug Zchn"/>
    <w:basedOn w:val="DefaultParagraphFont"/>
    <w:link w:val="TextmitEinzug"/>
    <w:rsid w:val="006C187A"/>
    <w:rPr>
      <w:rFonts w:ascii="Arial" w:hAnsi="Arial"/>
      <w:sz w:val="20"/>
    </w:rPr>
  </w:style>
  <w:style w:type="character" w:customStyle="1" w:styleId="HighlightsZchn">
    <w:name w:val="Highlights Zchn"/>
    <w:basedOn w:val="Listenebene3mitEinzug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mit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mit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mit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mit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Listenebene1">
    <w:name w:val="Listenebene 1"/>
    <w:basedOn w:val="Listenebene1mitEinzug"/>
    <w:qFormat/>
    <w:rsid w:val="006C187A"/>
    <w:pPr>
      <w:ind w:left="357" w:hanging="357"/>
    </w:pPr>
  </w:style>
  <w:style w:type="paragraph" w:customStyle="1" w:styleId="Listenebene2">
    <w:name w:val="Listenebene 2"/>
    <w:basedOn w:val="Listenebene2mitEinzug"/>
    <w:qFormat/>
    <w:rsid w:val="006C187A"/>
    <w:pPr>
      <w:ind w:left="714" w:hanging="357"/>
    </w:pPr>
  </w:style>
  <w:style w:type="paragraph" w:customStyle="1" w:styleId="Listenebene3">
    <w:name w:val="Listenebene 3"/>
    <w:basedOn w:val="Listenebene3mitEinzug"/>
    <w:qFormat/>
    <w:rsid w:val="006C187A"/>
    <w:pPr>
      <w:ind w:left="107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C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6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60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60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60E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C338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l\AppData\Roaming\microsoft\templates\Document%20TGW%20Logistics%20Group%20(Word).dotx" TargetMode="External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7A11-50BE-4FCA-BAEE-6F5F33C1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TGW Logistics Group (Word).dotx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nombra a Nathan A. Wolf vicepresidente de Ventas del mercado norteamericano</dc:title>
  <dc:subject/>
  <dc:creator>Weilharter Lisa</dc:creator>
  <cp:keywords>TGW nombra a Nathan A. Wolf vicepresidente de Ventas del mercado norteamericano</cp:keywords>
  <dc:description/>
  <cp:lastModifiedBy>Weilharter Lisa</cp:lastModifiedBy>
  <cp:revision>6</cp:revision>
  <cp:lastPrinted>2015-06-02T07:14:00Z</cp:lastPrinted>
  <dcterms:created xsi:type="dcterms:W3CDTF">2021-08-25T14:56:00Z</dcterms:created>
  <dcterms:modified xsi:type="dcterms:W3CDTF">2021-09-20T16:02:00Z</dcterms:modified>
</cp:coreProperties>
</file>