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FC4" w:rsidRPr="005723CB" w:rsidRDefault="00300FC4" w:rsidP="00FE2FD5">
      <w:pPr>
        <w:pStyle w:val="berschrift1"/>
        <w:spacing w:after="0"/>
        <w:rPr>
          <w:lang w:val="en-GB"/>
        </w:rPr>
      </w:pPr>
      <w:r w:rsidRPr="005723CB">
        <w:rPr>
          <w:lang w:val="en-GB"/>
        </w:rPr>
        <w:t>"</w:t>
      </w:r>
      <w:r w:rsidR="0083189E">
        <w:rPr>
          <w:lang w:val="en-GB"/>
        </w:rPr>
        <w:t>TGW Gave Us Three Way Optimization”</w:t>
      </w:r>
    </w:p>
    <w:p w:rsidR="00300FC4" w:rsidRPr="005723CB" w:rsidRDefault="0083189E" w:rsidP="00FE2FD5">
      <w:pPr>
        <w:pStyle w:val="berschrift1"/>
        <w:spacing w:before="0"/>
        <w:rPr>
          <w:sz w:val="24"/>
          <w:szCs w:val="24"/>
          <w:lang w:val="en-GB"/>
        </w:rPr>
      </w:pPr>
      <w:r>
        <w:rPr>
          <w:sz w:val="24"/>
          <w:szCs w:val="24"/>
          <w:lang w:val="en-GB"/>
        </w:rPr>
        <w:t>A</w:t>
      </w:r>
      <w:r w:rsidR="00300FC4" w:rsidRPr="005723CB">
        <w:rPr>
          <w:sz w:val="24"/>
          <w:szCs w:val="24"/>
          <w:lang w:val="en-GB"/>
        </w:rPr>
        <w:t xml:space="preserve"> dynamic order buffer system</w:t>
      </w:r>
      <w:r>
        <w:rPr>
          <w:sz w:val="24"/>
          <w:szCs w:val="24"/>
          <w:lang w:val="en-GB"/>
        </w:rPr>
        <w:t xml:space="preserve"> from TGW </w:t>
      </w:r>
      <w:r w:rsidR="001742FB">
        <w:rPr>
          <w:sz w:val="24"/>
          <w:szCs w:val="24"/>
          <w:lang w:val="en-GB"/>
        </w:rPr>
        <w:t>o</w:t>
      </w:r>
      <w:r>
        <w:rPr>
          <w:sz w:val="24"/>
          <w:szCs w:val="24"/>
          <w:lang w:val="en-GB"/>
        </w:rPr>
        <w:t>ptimizes</w:t>
      </w:r>
      <w:r w:rsidR="001742FB">
        <w:rPr>
          <w:sz w:val="24"/>
          <w:szCs w:val="24"/>
          <w:lang w:val="en-GB"/>
        </w:rPr>
        <w:t xml:space="preserve"> goods r</w:t>
      </w:r>
      <w:r w:rsidR="001848C7">
        <w:rPr>
          <w:sz w:val="24"/>
          <w:szCs w:val="24"/>
          <w:lang w:val="en-GB"/>
        </w:rPr>
        <w:t>e</w:t>
      </w:r>
      <w:r w:rsidR="001742FB">
        <w:rPr>
          <w:sz w:val="24"/>
          <w:szCs w:val="24"/>
          <w:lang w:val="en-GB"/>
        </w:rPr>
        <w:t>cei</w:t>
      </w:r>
      <w:r w:rsidR="001848C7">
        <w:rPr>
          <w:sz w:val="24"/>
          <w:szCs w:val="24"/>
          <w:lang w:val="en-GB"/>
        </w:rPr>
        <w:t xml:space="preserve">ving, </w:t>
      </w:r>
      <w:r w:rsidR="001742FB">
        <w:rPr>
          <w:sz w:val="24"/>
          <w:szCs w:val="24"/>
          <w:lang w:val="en-GB"/>
        </w:rPr>
        <w:t>o</w:t>
      </w:r>
      <w:r w:rsidR="001848C7">
        <w:rPr>
          <w:sz w:val="24"/>
          <w:szCs w:val="24"/>
          <w:lang w:val="en-GB"/>
        </w:rPr>
        <w:t xml:space="preserve">rder </w:t>
      </w:r>
      <w:r w:rsidR="001742FB">
        <w:rPr>
          <w:sz w:val="24"/>
          <w:szCs w:val="24"/>
          <w:lang w:val="en-GB"/>
        </w:rPr>
        <w:t>p</w:t>
      </w:r>
      <w:r w:rsidR="001848C7">
        <w:rPr>
          <w:sz w:val="24"/>
          <w:szCs w:val="24"/>
          <w:lang w:val="en-GB"/>
        </w:rPr>
        <w:t xml:space="preserve">icking and </w:t>
      </w:r>
      <w:r w:rsidR="001742FB">
        <w:rPr>
          <w:sz w:val="24"/>
          <w:szCs w:val="24"/>
          <w:lang w:val="en-GB"/>
        </w:rPr>
        <w:t>shipping a</w:t>
      </w:r>
      <w:r w:rsidR="001848C7">
        <w:rPr>
          <w:sz w:val="24"/>
          <w:szCs w:val="24"/>
          <w:lang w:val="en-GB"/>
        </w:rPr>
        <w:t>reas</w:t>
      </w:r>
      <w:r w:rsidR="00300FC4" w:rsidRPr="005723CB">
        <w:rPr>
          <w:sz w:val="24"/>
          <w:szCs w:val="24"/>
          <w:lang w:val="en-GB"/>
        </w:rPr>
        <w:t xml:space="preserve"> for </w:t>
      </w:r>
      <w:proofErr w:type="spellStart"/>
      <w:r w:rsidR="00300FC4" w:rsidRPr="005723CB">
        <w:rPr>
          <w:sz w:val="24"/>
          <w:szCs w:val="24"/>
          <w:lang w:val="en-GB"/>
        </w:rPr>
        <w:t>Böllhoff</w:t>
      </w:r>
      <w:proofErr w:type="spellEnd"/>
    </w:p>
    <w:p w:rsidR="00300FC4" w:rsidRPr="005723CB" w:rsidRDefault="00300FC4">
      <w:pPr>
        <w:pStyle w:val="berschrift2"/>
        <w:rPr>
          <w:i/>
          <w:iCs/>
          <w:lang w:val="en-GB"/>
        </w:rPr>
      </w:pPr>
      <w:proofErr w:type="spellStart"/>
      <w:r w:rsidRPr="005723CB">
        <w:rPr>
          <w:i/>
          <w:iCs/>
          <w:lang w:val="en-GB"/>
        </w:rPr>
        <w:t>Böllhoff</w:t>
      </w:r>
      <w:proofErr w:type="spellEnd"/>
      <w:r w:rsidRPr="005723CB">
        <w:rPr>
          <w:i/>
          <w:iCs/>
          <w:lang w:val="en-GB"/>
        </w:rPr>
        <w:t xml:space="preserve"> Group</w:t>
      </w:r>
      <w:r w:rsidR="00B814A6">
        <w:rPr>
          <w:i/>
          <w:iCs/>
          <w:lang w:val="en-GB"/>
        </w:rPr>
        <w:t>, h</w:t>
      </w:r>
      <w:r w:rsidR="00B814A6" w:rsidRPr="005723CB">
        <w:rPr>
          <w:i/>
          <w:iCs/>
          <w:lang w:val="en-GB"/>
        </w:rPr>
        <w:t>eadquartered in Bielefeld, Germany</w:t>
      </w:r>
      <w:r w:rsidR="00B814A6">
        <w:rPr>
          <w:i/>
          <w:iCs/>
          <w:lang w:val="en-GB"/>
        </w:rPr>
        <w:t xml:space="preserve">, is </w:t>
      </w:r>
      <w:r w:rsidR="00B814A6" w:rsidRPr="001742FB">
        <w:rPr>
          <w:i/>
          <w:iCs/>
          <w:lang w:val="en-GB"/>
        </w:rPr>
        <w:t xml:space="preserve">a world leader in the manufacturing and distribution of </w:t>
      </w:r>
      <w:r w:rsidR="00B814A6">
        <w:rPr>
          <w:i/>
          <w:iCs/>
          <w:lang w:val="en-GB"/>
        </w:rPr>
        <w:t xml:space="preserve">metal and plastic </w:t>
      </w:r>
      <w:r w:rsidR="00B814A6" w:rsidRPr="001742FB">
        <w:rPr>
          <w:i/>
          <w:iCs/>
          <w:lang w:val="en-GB"/>
        </w:rPr>
        <w:t>fasteners and joining solutions</w:t>
      </w:r>
      <w:r w:rsidRPr="005723CB">
        <w:rPr>
          <w:i/>
          <w:iCs/>
          <w:lang w:val="en-GB"/>
        </w:rPr>
        <w:t xml:space="preserve">. To be able to optimally handle the necessary processes, </w:t>
      </w:r>
      <w:proofErr w:type="spellStart"/>
      <w:r w:rsidRPr="005723CB">
        <w:rPr>
          <w:i/>
          <w:iCs/>
          <w:lang w:val="en-GB"/>
        </w:rPr>
        <w:t>Böllhoff</w:t>
      </w:r>
      <w:proofErr w:type="spellEnd"/>
      <w:r w:rsidRPr="005723CB">
        <w:rPr>
          <w:i/>
          <w:iCs/>
          <w:lang w:val="en-GB"/>
        </w:rPr>
        <w:t xml:space="preserve"> analysed its logistics operations with external consultants and invested in a new automated system. This system was implemented by TGW during live operation</w:t>
      </w:r>
      <w:r w:rsidR="006213E2">
        <w:rPr>
          <w:i/>
          <w:iCs/>
          <w:lang w:val="en-GB"/>
        </w:rPr>
        <w:t xml:space="preserve">, with no shutdown, similar to </w:t>
      </w:r>
      <w:r w:rsidR="006213E2" w:rsidRPr="001742FB">
        <w:rPr>
          <w:lang w:val="en-GB"/>
        </w:rPr>
        <w:t>changing the engine on an airpl</w:t>
      </w:r>
      <w:r w:rsidR="001742FB">
        <w:rPr>
          <w:lang w:val="en-GB"/>
        </w:rPr>
        <w:t>a</w:t>
      </w:r>
      <w:r w:rsidR="006213E2" w:rsidRPr="001742FB">
        <w:rPr>
          <w:lang w:val="en-GB"/>
        </w:rPr>
        <w:t>ne while it was inflight.</w:t>
      </w:r>
    </w:p>
    <w:p w:rsidR="00300FC4" w:rsidRPr="005723CB" w:rsidRDefault="006213E2" w:rsidP="00BD35E0">
      <w:pPr>
        <w:pStyle w:val="Kopfzeile"/>
        <w:rPr>
          <w:rFonts w:ascii="Arial" w:hAnsi="Arial" w:cs="Arial"/>
          <w:lang w:val="en-GB"/>
        </w:rPr>
      </w:pPr>
      <w:r>
        <w:rPr>
          <w:rFonts w:ascii="Arial" w:hAnsi="Arial" w:cs="Arial"/>
          <w:lang w:val="en-GB"/>
        </w:rPr>
        <w:t xml:space="preserve">According to </w:t>
      </w:r>
      <w:r w:rsidRPr="005723CB">
        <w:rPr>
          <w:rFonts w:ascii="Arial" w:hAnsi="Arial" w:cs="Arial"/>
          <w:lang w:val="en-GB"/>
        </w:rPr>
        <w:t xml:space="preserve">Hayrettin </w:t>
      </w:r>
      <w:proofErr w:type="spellStart"/>
      <w:r w:rsidRPr="005723CB">
        <w:rPr>
          <w:rFonts w:ascii="Arial" w:hAnsi="Arial" w:cs="Arial"/>
          <w:lang w:val="en-GB"/>
        </w:rPr>
        <w:t>Sariz</w:t>
      </w:r>
      <w:proofErr w:type="spellEnd"/>
      <w:r w:rsidRPr="005723CB">
        <w:rPr>
          <w:rFonts w:ascii="Arial" w:hAnsi="Arial" w:cs="Arial"/>
          <w:lang w:val="en-GB"/>
        </w:rPr>
        <w:t xml:space="preserve">, </w:t>
      </w:r>
      <w:r w:rsidR="00E2258D">
        <w:rPr>
          <w:rFonts w:ascii="Arial" w:hAnsi="Arial" w:cs="Arial"/>
          <w:lang w:val="en-GB"/>
        </w:rPr>
        <w:t>D</w:t>
      </w:r>
      <w:r w:rsidRPr="005723CB">
        <w:rPr>
          <w:rFonts w:ascii="Arial" w:hAnsi="Arial" w:cs="Arial"/>
          <w:lang w:val="en-GB"/>
        </w:rPr>
        <w:t xml:space="preserve">irector of </w:t>
      </w:r>
      <w:proofErr w:type="spellStart"/>
      <w:r w:rsidRPr="005723CB">
        <w:rPr>
          <w:rFonts w:ascii="Arial" w:hAnsi="Arial" w:cs="Arial"/>
          <w:lang w:val="en-GB"/>
        </w:rPr>
        <w:t>Böllhoff's</w:t>
      </w:r>
      <w:proofErr w:type="spellEnd"/>
      <w:r w:rsidRPr="005723CB">
        <w:rPr>
          <w:rFonts w:ascii="Arial" w:hAnsi="Arial" w:cs="Arial"/>
          <w:lang w:val="en-GB"/>
        </w:rPr>
        <w:t xml:space="preserve"> Logistics Centre North</w:t>
      </w:r>
      <w:r>
        <w:rPr>
          <w:rFonts w:ascii="Arial" w:hAnsi="Arial" w:cs="Arial"/>
          <w:lang w:val="en-GB"/>
        </w:rPr>
        <w:t xml:space="preserve">, the new automated system increased </w:t>
      </w:r>
      <w:proofErr w:type="spellStart"/>
      <w:r w:rsidRPr="005723CB">
        <w:rPr>
          <w:rFonts w:ascii="Arial" w:hAnsi="Arial" w:cs="Arial"/>
          <w:lang w:val="en-GB"/>
        </w:rPr>
        <w:t>Böllhoff's</w:t>
      </w:r>
      <w:proofErr w:type="spellEnd"/>
      <w:r>
        <w:rPr>
          <w:rFonts w:ascii="Arial" w:hAnsi="Arial" w:cs="Arial"/>
          <w:lang w:val="en-GB"/>
        </w:rPr>
        <w:t xml:space="preserve"> overall throughput at the facility. </w:t>
      </w:r>
      <w:r w:rsidR="00300FC4" w:rsidRPr="005723CB">
        <w:rPr>
          <w:rFonts w:ascii="Arial" w:hAnsi="Arial" w:cs="Arial"/>
          <w:lang w:val="en-GB"/>
        </w:rPr>
        <w:t>"We were able to increase the productivity in all areas of the logistics centre and remarkably reduce our employees' weight load</w:t>
      </w:r>
      <w:r>
        <w:rPr>
          <w:rFonts w:ascii="Arial" w:hAnsi="Arial" w:cs="Arial"/>
          <w:lang w:val="en-GB"/>
        </w:rPr>
        <w:t>,</w:t>
      </w:r>
      <w:r w:rsidR="00300FC4" w:rsidRPr="005723CB">
        <w:rPr>
          <w:rFonts w:ascii="Arial" w:hAnsi="Arial" w:cs="Arial"/>
          <w:lang w:val="en-GB"/>
        </w:rPr>
        <w:t>"</w:t>
      </w:r>
      <w:r w:rsidR="00FD0FAE">
        <w:rPr>
          <w:rFonts w:ascii="Arial" w:hAnsi="Arial" w:cs="Arial"/>
          <w:lang w:val="en-GB"/>
        </w:rPr>
        <w:t xml:space="preserve"> says</w:t>
      </w:r>
      <w:r>
        <w:rPr>
          <w:rFonts w:ascii="Arial" w:hAnsi="Arial" w:cs="Arial"/>
          <w:lang w:val="en-GB"/>
        </w:rPr>
        <w:t xml:space="preserve"> </w:t>
      </w:r>
      <w:proofErr w:type="spellStart"/>
      <w:r w:rsidR="00300FC4" w:rsidRPr="005723CB">
        <w:rPr>
          <w:rFonts w:ascii="Arial" w:hAnsi="Arial" w:cs="Arial"/>
          <w:lang w:val="en-GB"/>
        </w:rPr>
        <w:t>Sariz</w:t>
      </w:r>
      <w:proofErr w:type="spellEnd"/>
      <w:r w:rsidR="00300FC4" w:rsidRPr="005723CB">
        <w:rPr>
          <w:rFonts w:ascii="Arial" w:hAnsi="Arial" w:cs="Arial"/>
          <w:lang w:val="en-GB"/>
        </w:rPr>
        <w:t xml:space="preserve">. A decisive factor for these improvements has been the new, fully automatic buffering system </w:t>
      </w:r>
      <w:r>
        <w:rPr>
          <w:rFonts w:ascii="Arial" w:hAnsi="Arial" w:cs="Arial"/>
          <w:lang w:val="en-GB"/>
        </w:rPr>
        <w:t xml:space="preserve">from </w:t>
      </w:r>
      <w:r w:rsidR="00300FC4" w:rsidRPr="005723CB">
        <w:rPr>
          <w:rFonts w:ascii="Arial" w:hAnsi="Arial" w:cs="Arial"/>
          <w:lang w:val="en-GB"/>
        </w:rPr>
        <w:t>systems integrator TGW</w:t>
      </w:r>
      <w:r>
        <w:rPr>
          <w:rFonts w:ascii="Arial" w:hAnsi="Arial" w:cs="Arial"/>
          <w:lang w:val="en-GB"/>
        </w:rPr>
        <w:t xml:space="preserve"> that </w:t>
      </w:r>
      <w:r w:rsidRPr="005723CB">
        <w:rPr>
          <w:rFonts w:ascii="Arial" w:hAnsi="Arial" w:cs="Arial"/>
          <w:lang w:val="en-GB"/>
        </w:rPr>
        <w:t>constitutes the ideal combination of human labour and automation</w:t>
      </w:r>
      <w:r>
        <w:rPr>
          <w:rFonts w:ascii="Arial" w:hAnsi="Arial" w:cs="Arial"/>
          <w:lang w:val="en-GB"/>
        </w:rPr>
        <w:t xml:space="preserve"> for </w:t>
      </w:r>
      <w:proofErr w:type="spellStart"/>
      <w:r w:rsidRPr="005723CB">
        <w:rPr>
          <w:rFonts w:ascii="Arial" w:hAnsi="Arial" w:cs="Arial"/>
          <w:lang w:val="en-GB"/>
        </w:rPr>
        <w:t>Böllhoff</w:t>
      </w:r>
      <w:proofErr w:type="spellEnd"/>
      <w:r>
        <w:rPr>
          <w:rFonts w:ascii="Arial" w:hAnsi="Arial" w:cs="Arial"/>
          <w:lang w:val="en-GB"/>
        </w:rPr>
        <w:t xml:space="preserve">. TGW implemented a </w:t>
      </w:r>
      <w:r w:rsidR="00300FC4" w:rsidRPr="005723CB">
        <w:rPr>
          <w:rFonts w:ascii="Arial" w:hAnsi="Arial" w:cs="Arial"/>
          <w:lang w:val="en-GB"/>
        </w:rPr>
        <w:t xml:space="preserve">compact Commissioner storage solution </w:t>
      </w:r>
      <w:r>
        <w:rPr>
          <w:rFonts w:ascii="Arial" w:hAnsi="Arial" w:cs="Arial"/>
          <w:lang w:val="en-GB"/>
        </w:rPr>
        <w:t xml:space="preserve">at </w:t>
      </w:r>
      <w:proofErr w:type="spellStart"/>
      <w:r w:rsidR="00300FC4" w:rsidRPr="005723CB">
        <w:rPr>
          <w:rFonts w:ascii="Arial" w:hAnsi="Arial" w:cs="Arial"/>
          <w:lang w:val="en-GB"/>
        </w:rPr>
        <w:t>Böllhoff</w:t>
      </w:r>
      <w:r>
        <w:rPr>
          <w:rFonts w:ascii="Arial" w:hAnsi="Arial" w:cs="Arial"/>
          <w:lang w:val="en-GB"/>
        </w:rPr>
        <w:t>’s</w:t>
      </w:r>
      <w:proofErr w:type="spellEnd"/>
      <w:r w:rsidR="00300FC4" w:rsidRPr="005723CB">
        <w:rPr>
          <w:rFonts w:ascii="Arial" w:hAnsi="Arial" w:cs="Arial"/>
          <w:lang w:val="en-GB"/>
        </w:rPr>
        <w:t xml:space="preserve"> Bielefeld headquarters </w:t>
      </w:r>
      <w:r>
        <w:rPr>
          <w:rFonts w:ascii="Arial" w:hAnsi="Arial" w:cs="Arial"/>
          <w:lang w:val="en-GB"/>
        </w:rPr>
        <w:t>in</w:t>
      </w:r>
      <w:r w:rsidR="00300FC4" w:rsidRPr="005723CB">
        <w:rPr>
          <w:rFonts w:ascii="Arial" w:hAnsi="Arial" w:cs="Arial"/>
          <w:lang w:val="en-GB"/>
        </w:rPr>
        <w:t xml:space="preserve"> February 2012. This solution was integrated in</w:t>
      </w:r>
      <w:r>
        <w:rPr>
          <w:rFonts w:ascii="Arial" w:hAnsi="Arial" w:cs="Arial"/>
          <w:lang w:val="en-GB"/>
        </w:rPr>
        <w:t>to</w:t>
      </w:r>
      <w:r w:rsidR="00300FC4" w:rsidRPr="005723CB">
        <w:rPr>
          <w:rFonts w:ascii="Arial" w:hAnsi="Arial" w:cs="Arial"/>
          <w:lang w:val="en-GB"/>
        </w:rPr>
        <w:t xml:space="preserve"> </w:t>
      </w:r>
      <w:r w:rsidRPr="005723CB">
        <w:rPr>
          <w:rFonts w:ascii="Arial" w:hAnsi="Arial" w:cs="Arial"/>
          <w:lang w:val="en-GB"/>
        </w:rPr>
        <w:t xml:space="preserve">Böllhoff's </w:t>
      </w:r>
      <w:r w:rsidR="00300FC4" w:rsidRPr="005723CB">
        <w:rPr>
          <w:rFonts w:ascii="Arial" w:hAnsi="Arial" w:cs="Arial"/>
          <w:lang w:val="en-GB"/>
        </w:rPr>
        <w:t xml:space="preserve">existing material handling system, </w:t>
      </w:r>
      <w:r>
        <w:rPr>
          <w:rFonts w:ascii="Arial" w:hAnsi="Arial" w:cs="Arial"/>
          <w:lang w:val="en-GB"/>
        </w:rPr>
        <w:t xml:space="preserve">allowing the company to </w:t>
      </w:r>
      <w:r w:rsidR="00300FC4" w:rsidRPr="005723CB">
        <w:rPr>
          <w:rFonts w:ascii="Arial" w:hAnsi="Arial" w:cs="Arial"/>
          <w:lang w:val="en-GB"/>
        </w:rPr>
        <w:t>handl</w:t>
      </w:r>
      <w:r>
        <w:rPr>
          <w:rFonts w:ascii="Arial" w:hAnsi="Arial" w:cs="Arial"/>
          <w:lang w:val="en-GB"/>
        </w:rPr>
        <w:t>e</w:t>
      </w:r>
      <w:r w:rsidR="00300FC4" w:rsidRPr="005723CB">
        <w:rPr>
          <w:rFonts w:ascii="Arial" w:hAnsi="Arial" w:cs="Arial"/>
          <w:lang w:val="en-GB"/>
        </w:rPr>
        <w:t xml:space="preserve"> thousands of tote </w:t>
      </w:r>
      <w:r w:rsidR="00300FC4" w:rsidRPr="00462BDA">
        <w:rPr>
          <w:rFonts w:ascii="Arial" w:hAnsi="Arial" w:cs="Arial"/>
          <w:lang w:val="en-GB"/>
        </w:rPr>
        <w:t>movements a day</w:t>
      </w:r>
      <w:r w:rsidRPr="00462BDA">
        <w:rPr>
          <w:rFonts w:ascii="Arial" w:hAnsi="Arial" w:cs="Arial"/>
          <w:lang w:val="en-GB"/>
        </w:rPr>
        <w:t xml:space="preserve"> and optimize multiple areas of the logistics centr</w:t>
      </w:r>
      <w:r w:rsidR="00462BDA">
        <w:rPr>
          <w:rFonts w:ascii="Arial" w:hAnsi="Arial" w:cs="Arial"/>
          <w:lang w:val="en-GB"/>
        </w:rPr>
        <w:t>e</w:t>
      </w:r>
      <w:r w:rsidR="00300FC4" w:rsidRPr="00462BDA">
        <w:rPr>
          <w:rFonts w:ascii="Arial" w:hAnsi="Arial" w:cs="Arial"/>
          <w:lang w:val="en-GB"/>
        </w:rPr>
        <w:t>. "Today, the goods receiving, order picking and shipping areas work independently from each other</w:t>
      </w:r>
      <w:r w:rsidR="00D83801" w:rsidRPr="00462BDA">
        <w:rPr>
          <w:rFonts w:ascii="Arial" w:hAnsi="Arial" w:cs="Arial"/>
          <w:lang w:val="en-GB"/>
        </w:rPr>
        <w:t>,</w:t>
      </w:r>
      <w:r w:rsidR="00300FC4" w:rsidRPr="00462BDA">
        <w:rPr>
          <w:rFonts w:ascii="Arial" w:hAnsi="Arial" w:cs="Arial"/>
          <w:lang w:val="en-GB"/>
        </w:rPr>
        <w:t>" explains</w:t>
      </w:r>
      <w:r w:rsidR="00300FC4" w:rsidRPr="005723CB">
        <w:rPr>
          <w:rFonts w:ascii="Arial" w:hAnsi="Arial" w:cs="Arial"/>
          <w:lang w:val="en-GB"/>
        </w:rPr>
        <w:t xml:space="preserve"> Sebastian Rose, Technical Director at </w:t>
      </w:r>
      <w:proofErr w:type="spellStart"/>
      <w:r w:rsidR="00300FC4" w:rsidRPr="005723CB">
        <w:rPr>
          <w:rFonts w:ascii="Arial" w:hAnsi="Arial" w:cs="Arial"/>
          <w:lang w:val="en-GB"/>
        </w:rPr>
        <w:t>Böllhoff</w:t>
      </w:r>
      <w:proofErr w:type="spellEnd"/>
      <w:r w:rsidR="00300FC4" w:rsidRPr="005723CB">
        <w:rPr>
          <w:rFonts w:ascii="Arial" w:hAnsi="Arial" w:cs="Arial"/>
          <w:lang w:val="en-GB"/>
        </w:rPr>
        <w:t xml:space="preserve">. "The Commissioner storage buffer ensures that overloading in one area does not </w:t>
      </w:r>
      <w:r>
        <w:rPr>
          <w:rFonts w:ascii="Arial" w:hAnsi="Arial" w:cs="Arial"/>
          <w:lang w:val="en-GB"/>
        </w:rPr>
        <w:t xml:space="preserve">negatively </w:t>
      </w:r>
      <w:r w:rsidR="00300FC4" w:rsidRPr="005723CB">
        <w:rPr>
          <w:rFonts w:ascii="Arial" w:hAnsi="Arial" w:cs="Arial"/>
          <w:lang w:val="en-GB"/>
        </w:rPr>
        <w:t xml:space="preserve">influence the operations in other areas." </w:t>
      </w:r>
    </w:p>
    <w:p w:rsidR="00300FC4" w:rsidRPr="005723CB" w:rsidRDefault="00300FC4" w:rsidP="00BD35E0">
      <w:pPr>
        <w:pStyle w:val="Kopfzeile"/>
        <w:rPr>
          <w:rFonts w:ascii="Arial" w:hAnsi="Arial" w:cs="Arial"/>
          <w:b/>
          <w:bCs/>
          <w:i/>
          <w:iCs/>
          <w:lang w:val="en-GB"/>
        </w:rPr>
      </w:pPr>
      <w:r w:rsidRPr="005723CB">
        <w:rPr>
          <w:rFonts w:ascii="Arial" w:hAnsi="Arial" w:cs="Arial"/>
          <w:b/>
          <w:bCs/>
          <w:i/>
          <w:iCs/>
          <w:lang w:val="en-GB"/>
        </w:rPr>
        <w:t xml:space="preserve">Joining Together – </w:t>
      </w:r>
      <w:proofErr w:type="spellStart"/>
      <w:r w:rsidRPr="005723CB">
        <w:rPr>
          <w:rFonts w:ascii="Arial" w:hAnsi="Arial" w:cs="Arial"/>
          <w:b/>
          <w:bCs/>
          <w:i/>
          <w:iCs/>
          <w:lang w:val="en-GB"/>
        </w:rPr>
        <w:t>Böllhoff's</w:t>
      </w:r>
      <w:proofErr w:type="spellEnd"/>
      <w:r w:rsidRPr="005723CB">
        <w:rPr>
          <w:rFonts w:ascii="Arial" w:hAnsi="Arial" w:cs="Arial"/>
          <w:b/>
          <w:bCs/>
          <w:i/>
          <w:iCs/>
          <w:lang w:val="en-GB"/>
        </w:rPr>
        <w:t xml:space="preserve"> high-quality fasteners</w:t>
      </w:r>
    </w:p>
    <w:p w:rsidR="00300FC4" w:rsidRPr="005723CB" w:rsidRDefault="00300FC4" w:rsidP="00BD35E0">
      <w:pPr>
        <w:pStyle w:val="Kopfzeile"/>
        <w:rPr>
          <w:rFonts w:ascii="Arial" w:hAnsi="Arial" w:cs="Arial"/>
          <w:lang w:val="en-GB"/>
        </w:rPr>
      </w:pPr>
      <w:r w:rsidRPr="005723CB">
        <w:rPr>
          <w:rFonts w:ascii="Arial" w:hAnsi="Arial" w:cs="Arial"/>
          <w:lang w:val="en-GB"/>
        </w:rPr>
        <w:t xml:space="preserve">The </w:t>
      </w:r>
      <w:proofErr w:type="spellStart"/>
      <w:r w:rsidRPr="005723CB">
        <w:rPr>
          <w:rFonts w:ascii="Arial" w:hAnsi="Arial" w:cs="Arial"/>
          <w:lang w:val="en-GB"/>
        </w:rPr>
        <w:t>Böllhoff</w:t>
      </w:r>
      <w:proofErr w:type="spellEnd"/>
      <w:r w:rsidRPr="005723CB">
        <w:rPr>
          <w:rFonts w:ascii="Arial" w:hAnsi="Arial" w:cs="Arial"/>
          <w:lang w:val="en-GB"/>
        </w:rPr>
        <w:t xml:space="preserve"> Group is a </w:t>
      </w:r>
      <w:r w:rsidR="00B814A6" w:rsidRPr="00462BDA">
        <w:rPr>
          <w:rFonts w:ascii="Arial" w:hAnsi="Arial" w:cs="Arial"/>
          <w:lang w:val="en-GB"/>
        </w:rPr>
        <w:t>family-</w:t>
      </w:r>
      <w:r w:rsidR="00B814A6">
        <w:rPr>
          <w:rFonts w:ascii="Arial" w:hAnsi="Arial" w:cs="Arial"/>
          <w:lang w:val="en-GB"/>
        </w:rPr>
        <w:t xml:space="preserve">owned </w:t>
      </w:r>
      <w:r w:rsidR="00B814A6" w:rsidRPr="00462BDA">
        <w:rPr>
          <w:rFonts w:ascii="Arial" w:hAnsi="Arial" w:cs="Arial"/>
          <w:lang w:val="en-GB"/>
        </w:rPr>
        <w:t>company with over 2000 employees, operating in 21 countries around the world</w:t>
      </w:r>
      <w:r w:rsidR="00B814A6">
        <w:rPr>
          <w:rFonts w:ascii="Arial" w:hAnsi="Arial" w:cs="Arial"/>
          <w:lang w:val="en-GB"/>
        </w:rPr>
        <w:t xml:space="preserve">. The company </w:t>
      </w:r>
      <w:r w:rsidR="00462BDA">
        <w:rPr>
          <w:rFonts w:ascii="Arial" w:hAnsi="Arial" w:cs="Arial"/>
          <w:lang w:val="en-GB"/>
        </w:rPr>
        <w:t>manufacture</w:t>
      </w:r>
      <w:r w:rsidR="00B814A6">
        <w:rPr>
          <w:rFonts w:ascii="Arial" w:hAnsi="Arial" w:cs="Arial"/>
          <w:lang w:val="en-GB"/>
        </w:rPr>
        <w:t xml:space="preserve">s </w:t>
      </w:r>
      <w:r w:rsidRPr="005723CB">
        <w:rPr>
          <w:rFonts w:ascii="Arial" w:hAnsi="Arial" w:cs="Arial"/>
          <w:lang w:val="en-GB"/>
        </w:rPr>
        <w:t>products at the headquarters in Bielefeld</w:t>
      </w:r>
      <w:r w:rsidR="00B814A6">
        <w:rPr>
          <w:rFonts w:ascii="Arial" w:hAnsi="Arial" w:cs="Arial"/>
          <w:lang w:val="en-GB"/>
        </w:rPr>
        <w:t>,</w:t>
      </w:r>
      <w:r w:rsidRPr="005723CB">
        <w:rPr>
          <w:rFonts w:ascii="Arial" w:hAnsi="Arial" w:cs="Arial"/>
          <w:lang w:val="en-GB"/>
        </w:rPr>
        <w:t xml:space="preserve"> as well as at eight other production </w:t>
      </w:r>
      <w:r w:rsidRPr="005723CB">
        <w:rPr>
          <w:rFonts w:ascii="Arial" w:hAnsi="Arial" w:cs="Arial"/>
          <w:lang w:val="en-GB"/>
        </w:rPr>
        <w:lastRenderedPageBreak/>
        <w:t xml:space="preserve">locations worldwide. </w:t>
      </w:r>
      <w:r w:rsidR="00B814A6">
        <w:rPr>
          <w:rFonts w:ascii="Arial" w:hAnsi="Arial" w:cs="Arial"/>
          <w:lang w:val="en-GB"/>
        </w:rPr>
        <w:t xml:space="preserve">In addition to its own products, the </w:t>
      </w:r>
      <w:r w:rsidRPr="005723CB">
        <w:rPr>
          <w:rFonts w:ascii="Arial" w:hAnsi="Arial" w:cs="Arial"/>
          <w:lang w:val="en-GB"/>
        </w:rPr>
        <w:t>company distributes a great number of fasteners of other manufacturers, offering a comprehensive range of more than 100,000 items</w:t>
      </w:r>
      <w:r w:rsidR="00053985">
        <w:rPr>
          <w:rFonts w:ascii="Arial" w:hAnsi="Arial" w:cs="Arial"/>
          <w:lang w:val="en-GB"/>
        </w:rPr>
        <w:t xml:space="preserve"> distributed through </w:t>
      </w:r>
      <w:r w:rsidRPr="005723CB">
        <w:rPr>
          <w:rFonts w:ascii="Arial" w:hAnsi="Arial" w:cs="Arial"/>
          <w:lang w:val="en-GB"/>
        </w:rPr>
        <w:t>several logistics centres. The Logistics Centre North</w:t>
      </w:r>
      <w:r w:rsidR="00053985">
        <w:rPr>
          <w:rFonts w:ascii="Arial" w:hAnsi="Arial" w:cs="Arial"/>
          <w:lang w:val="en-GB"/>
        </w:rPr>
        <w:t>,</w:t>
      </w:r>
      <w:r w:rsidRPr="005723CB">
        <w:rPr>
          <w:rFonts w:ascii="Arial" w:hAnsi="Arial" w:cs="Arial"/>
          <w:lang w:val="en-GB"/>
        </w:rPr>
        <w:t xml:space="preserve"> located at the company headquarters</w:t>
      </w:r>
      <w:r w:rsidR="00053985">
        <w:rPr>
          <w:rFonts w:ascii="Arial" w:hAnsi="Arial" w:cs="Arial"/>
          <w:lang w:val="en-GB"/>
        </w:rPr>
        <w:t xml:space="preserve">, </w:t>
      </w:r>
      <w:r w:rsidRPr="005723CB">
        <w:rPr>
          <w:rFonts w:ascii="Arial" w:hAnsi="Arial" w:cs="Arial"/>
          <w:lang w:val="en-GB"/>
        </w:rPr>
        <w:t>replenish</w:t>
      </w:r>
      <w:r w:rsidR="00053985">
        <w:rPr>
          <w:rFonts w:ascii="Arial" w:hAnsi="Arial" w:cs="Arial"/>
          <w:lang w:val="en-GB"/>
        </w:rPr>
        <w:t>es</w:t>
      </w:r>
      <w:r w:rsidRPr="005723CB">
        <w:rPr>
          <w:rFonts w:ascii="Arial" w:hAnsi="Arial" w:cs="Arial"/>
          <w:lang w:val="en-GB"/>
        </w:rPr>
        <w:t xml:space="preserve"> the other logistics centres</w:t>
      </w:r>
      <w:r w:rsidR="00053985">
        <w:rPr>
          <w:rFonts w:ascii="Arial" w:hAnsi="Arial" w:cs="Arial"/>
          <w:lang w:val="en-GB"/>
        </w:rPr>
        <w:t xml:space="preserve"> and also distributes </w:t>
      </w:r>
      <w:r w:rsidRPr="005723CB">
        <w:rPr>
          <w:rFonts w:ascii="Arial" w:hAnsi="Arial" w:cs="Arial"/>
          <w:lang w:val="en-GB"/>
        </w:rPr>
        <w:t xml:space="preserve">direct customer supplies </w:t>
      </w:r>
      <w:r w:rsidR="00053985">
        <w:rPr>
          <w:rFonts w:ascii="Arial" w:hAnsi="Arial" w:cs="Arial"/>
          <w:lang w:val="en-GB"/>
        </w:rPr>
        <w:t>for</w:t>
      </w:r>
      <w:r w:rsidRPr="005723CB">
        <w:rPr>
          <w:rFonts w:ascii="Arial" w:hAnsi="Arial" w:cs="Arial"/>
          <w:lang w:val="en-GB"/>
        </w:rPr>
        <w:t xml:space="preserve"> Germany and the international market.</w:t>
      </w:r>
    </w:p>
    <w:p w:rsidR="00300FC4" w:rsidRPr="005723CB" w:rsidRDefault="00300FC4" w:rsidP="00BD35E0">
      <w:pPr>
        <w:pStyle w:val="Kopfzeile"/>
        <w:rPr>
          <w:rFonts w:ascii="Arial" w:hAnsi="Arial" w:cs="Arial"/>
          <w:lang w:val="en-GB"/>
        </w:rPr>
      </w:pPr>
      <w:r w:rsidRPr="005723CB">
        <w:rPr>
          <w:rFonts w:ascii="Arial" w:hAnsi="Arial" w:cs="Arial"/>
          <w:lang w:val="en-GB"/>
        </w:rPr>
        <w:t xml:space="preserve">Already the goods receiving operations make high demands on the workers in the Logistics Centre North. "We have a very strict incoming good inspection procedure, as we want to assure our customers of the maximum quality of </w:t>
      </w:r>
      <w:proofErr w:type="spellStart"/>
      <w:r w:rsidRPr="005723CB">
        <w:rPr>
          <w:rFonts w:ascii="Arial" w:hAnsi="Arial" w:cs="Arial"/>
          <w:lang w:val="en-GB"/>
        </w:rPr>
        <w:t>Böllhoff</w:t>
      </w:r>
      <w:proofErr w:type="spellEnd"/>
      <w:r w:rsidRPr="005723CB">
        <w:rPr>
          <w:rFonts w:ascii="Arial" w:hAnsi="Arial" w:cs="Arial"/>
          <w:lang w:val="en-GB"/>
        </w:rPr>
        <w:t xml:space="preserve"> fasteners</w:t>
      </w:r>
      <w:r w:rsidR="00D83801">
        <w:rPr>
          <w:rFonts w:ascii="Arial" w:hAnsi="Arial" w:cs="Arial"/>
          <w:lang w:val="en-GB"/>
        </w:rPr>
        <w:t>,</w:t>
      </w:r>
      <w:r w:rsidRPr="005723CB">
        <w:rPr>
          <w:rFonts w:ascii="Arial" w:hAnsi="Arial" w:cs="Arial"/>
          <w:lang w:val="en-GB"/>
        </w:rPr>
        <w:t xml:space="preserve">" says LC Director Hayrettin </w:t>
      </w:r>
      <w:proofErr w:type="spellStart"/>
      <w:r w:rsidRPr="005723CB">
        <w:rPr>
          <w:rFonts w:ascii="Arial" w:hAnsi="Arial" w:cs="Arial"/>
          <w:lang w:val="en-GB"/>
        </w:rPr>
        <w:t>Sariz</w:t>
      </w:r>
      <w:proofErr w:type="spellEnd"/>
      <w:r w:rsidRPr="005723CB">
        <w:rPr>
          <w:rFonts w:ascii="Arial" w:hAnsi="Arial" w:cs="Arial"/>
          <w:lang w:val="en-GB"/>
        </w:rPr>
        <w:t>. Besides a commercial check, the items are checked visually for the correct design with respect to technical function and geometry and only handed over to the following process if they have the proper quality.</w:t>
      </w:r>
    </w:p>
    <w:p w:rsidR="00300FC4" w:rsidRPr="005723CB" w:rsidRDefault="00300FC4" w:rsidP="00BD35E0">
      <w:pPr>
        <w:pStyle w:val="Kopfzeile"/>
        <w:rPr>
          <w:rFonts w:ascii="Arial" w:hAnsi="Arial" w:cs="Arial"/>
          <w:lang w:val="en-GB"/>
        </w:rPr>
      </w:pPr>
      <w:r w:rsidRPr="005723CB">
        <w:rPr>
          <w:rFonts w:ascii="Arial" w:hAnsi="Arial" w:cs="Arial"/>
          <w:lang w:val="en-GB"/>
        </w:rPr>
        <w:t xml:space="preserve">In the goods receiving area, the items are repacked into </w:t>
      </w:r>
      <w:proofErr w:type="spellStart"/>
      <w:r w:rsidRPr="005723CB">
        <w:rPr>
          <w:rFonts w:ascii="Arial" w:hAnsi="Arial" w:cs="Arial"/>
          <w:lang w:val="en-GB"/>
        </w:rPr>
        <w:t>Böllhoff's</w:t>
      </w:r>
      <w:proofErr w:type="spellEnd"/>
      <w:r w:rsidRPr="005723CB">
        <w:rPr>
          <w:rFonts w:ascii="Arial" w:hAnsi="Arial" w:cs="Arial"/>
          <w:lang w:val="en-GB"/>
        </w:rPr>
        <w:t xml:space="preserve"> own special load carriers for small parts (KLT), unless the goods </w:t>
      </w:r>
      <w:r w:rsidR="00682151">
        <w:rPr>
          <w:rFonts w:ascii="Arial" w:hAnsi="Arial" w:cs="Arial"/>
          <w:lang w:val="en-GB"/>
        </w:rPr>
        <w:t>will</w:t>
      </w:r>
      <w:r w:rsidR="0099484B">
        <w:rPr>
          <w:rFonts w:ascii="Arial" w:hAnsi="Arial" w:cs="Arial"/>
          <w:lang w:val="en-GB"/>
        </w:rPr>
        <w:t xml:space="preserve"> </w:t>
      </w:r>
      <w:r w:rsidRPr="005723CB">
        <w:rPr>
          <w:rFonts w:ascii="Arial" w:hAnsi="Arial" w:cs="Arial"/>
          <w:lang w:val="en-GB"/>
        </w:rPr>
        <w:t>be stored on pallets. And this is also the first process that benefits from the new buffering system. "In the past, there were sometimes tailbacks of goods waiting to be stored in the warehouse by the picking personnel</w:t>
      </w:r>
      <w:r w:rsidR="00D83801">
        <w:rPr>
          <w:rFonts w:ascii="Arial" w:hAnsi="Arial" w:cs="Arial"/>
          <w:lang w:val="en-GB"/>
        </w:rPr>
        <w:t>,</w:t>
      </w:r>
      <w:r w:rsidRPr="005723CB">
        <w:rPr>
          <w:rFonts w:ascii="Arial" w:hAnsi="Arial" w:cs="Arial"/>
          <w:lang w:val="en-GB"/>
        </w:rPr>
        <w:t xml:space="preserve">" the director of </w:t>
      </w:r>
      <w:proofErr w:type="spellStart"/>
      <w:r w:rsidRPr="005723CB">
        <w:rPr>
          <w:rFonts w:ascii="Arial" w:hAnsi="Arial" w:cs="Arial"/>
          <w:lang w:val="en-GB"/>
        </w:rPr>
        <w:t>Böllhoff's</w:t>
      </w:r>
      <w:proofErr w:type="spellEnd"/>
      <w:r w:rsidRPr="005723CB">
        <w:rPr>
          <w:rFonts w:ascii="Arial" w:hAnsi="Arial" w:cs="Arial"/>
          <w:lang w:val="en-GB"/>
        </w:rPr>
        <w:t xml:space="preserve"> logistics centre in Bielefeld recalls. Today, the KLT totes are transported from the goods receiving area directly into the three TGW Commissioners where they are intermediately stored and not retrieved before they can be stored in the warehouse by the picking personnel. </w:t>
      </w:r>
    </w:p>
    <w:p w:rsidR="00300FC4" w:rsidRPr="005723CB" w:rsidRDefault="00300FC4" w:rsidP="00BD35E0">
      <w:pPr>
        <w:pStyle w:val="Kopfzeile"/>
        <w:rPr>
          <w:rFonts w:ascii="Arial" w:hAnsi="Arial" w:cs="Arial"/>
          <w:b/>
          <w:bCs/>
          <w:i/>
          <w:iCs/>
          <w:lang w:val="en-GB"/>
        </w:rPr>
      </w:pPr>
      <w:r w:rsidRPr="005723CB">
        <w:rPr>
          <w:rFonts w:ascii="Arial" w:hAnsi="Arial" w:cs="Arial"/>
          <w:b/>
          <w:bCs/>
          <w:i/>
          <w:iCs/>
          <w:lang w:val="en-GB"/>
        </w:rPr>
        <w:t>Buffering system for several picking areas</w:t>
      </w:r>
    </w:p>
    <w:p w:rsidR="00300FC4" w:rsidRPr="005723CB" w:rsidRDefault="00300FC4" w:rsidP="00BD35E0">
      <w:pPr>
        <w:pStyle w:val="Kopfzeile"/>
        <w:rPr>
          <w:rFonts w:ascii="Arial" w:hAnsi="Arial" w:cs="Arial"/>
          <w:lang w:val="en-GB"/>
        </w:rPr>
      </w:pPr>
      <w:r w:rsidRPr="005723CB">
        <w:rPr>
          <w:rFonts w:ascii="Arial" w:hAnsi="Arial" w:cs="Arial"/>
          <w:lang w:val="en-GB"/>
        </w:rPr>
        <w:t xml:space="preserve">Order picking is done in several areas - primarily in a mini-load warehouse and in the pallet high-bay warehouse operated by manned industrial trucks. Depending on the order volume, </w:t>
      </w:r>
      <w:proofErr w:type="spellStart"/>
      <w:r w:rsidRPr="005723CB">
        <w:rPr>
          <w:rFonts w:ascii="Arial" w:hAnsi="Arial" w:cs="Arial"/>
          <w:lang w:val="en-GB"/>
        </w:rPr>
        <w:t>Böllhoff</w:t>
      </w:r>
      <w:proofErr w:type="spellEnd"/>
      <w:r w:rsidRPr="005723CB">
        <w:rPr>
          <w:rFonts w:ascii="Arial" w:hAnsi="Arial" w:cs="Arial"/>
          <w:lang w:val="en-GB"/>
        </w:rPr>
        <w:t xml:space="preserve"> picks the orders onto pallets or in its own KLT totes. "In the past we used a conveyor loop as buffer between order picking and shipping</w:t>
      </w:r>
      <w:r w:rsidR="00D83801">
        <w:rPr>
          <w:rFonts w:ascii="Arial" w:hAnsi="Arial" w:cs="Arial"/>
          <w:lang w:val="en-GB"/>
        </w:rPr>
        <w:t>,</w:t>
      </w:r>
      <w:r w:rsidRPr="005723CB">
        <w:rPr>
          <w:rFonts w:ascii="Arial" w:hAnsi="Arial" w:cs="Arial"/>
          <w:lang w:val="en-GB"/>
        </w:rPr>
        <w:t xml:space="preserve">" says Sebastian Rose, Technical Director of </w:t>
      </w:r>
      <w:proofErr w:type="spellStart"/>
      <w:r w:rsidRPr="005723CB">
        <w:rPr>
          <w:rFonts w:ascii="Arial" w:hAnsi="Arial" w:cs="Arial"/>
          <w:lang w:val="en-GB"/>
        </w:rPr>
        <w:t>Böllhoff's</w:t>
      </w:r>
      <w:proofErr w:type="spellEnd"/>
      <w:r w:rsidRPr="005723CB">
        <w:rPr>
          <w:rFonts w:ascii="Arial" w:hAnsi="Arial" w:cs="Arial"/>
          <w:lang w:val="en-GB"/>
        </w:rPr>
        <w:t xml:space="preserve"> Logistics Centre North. "Today, we have a considerably higher buffer capacity. </w:t>
      </w:r>
      <w:r w:rsidRPr="005723CB">
        <w:rPr>
          <w:rFonts w:ascii="Arial" w:hAnsi="Arial" w:cs="Arial"/>
          <w:lang w:val="en-GB"/>
        </w:rPr>
        <w:lastRenderedPageBreak/>
        <w:t>What's more, we are now able to retrieve the totes from the Commissioner machines sequenced according to different criteria."</w:t>
      </w:r>
    </w:p>
    <w:p w:rsidR="00300FC4" w:rsidRPr="005723CB" w:rsidRDefault="00300FC4" w:rsidP="00BD35E0">
      <w:pPr>
        <w:pStyle w:val="Kopfzeile"/>
        <w:rPr>
          <w:rFonts w:ascii="Arial" w:hAnsi="Arial" w:cs="Arial"/>
          <w:lang w:val="en-GB"/>
        </w:rPr>
      </w:pPr>
      <w:r w:rsidRPr="005723CB">
        <w:rPr>
          <w:rFonts w:ascii="Arial" w:hAnsi="Arial" w:cs="Arial"/>
          <w:lang w:val="en-GB"/>
        </w:rPr>
        <w:t xml:space="preserve">This enables the workers in the shipping area to work more efficiently than back in 2011. There are far less waiting times until a customer order is fully picked and ready to be shipped, and no manual </w:t>
      </w:r>
      <w:r w:rsidR="00D83801">
        <w:rPr>
          <w:rFonts w:ascii="Arial" w:hAnsi="Arial" w:cs="Arial"/>
          <w:lang w:val="en-GB"/>
        </w:rPr>
        <w:t>‘</w:t>
      </w:r>
      <w:r w:rsidRPr="005723CB">
        <w:rPr>
          <w:rFonts w:ascii="Arial" w:hAnsi="Arial" w:cs="Arial"/>
          <w:lang w:val="en-GB"/>
        </w:rPr>
        <w:t>intermediate storage areas</w:t>
      </w:r>
      <w:r w:rsidR="00D83801">
        <w:rPr>
          <w:rFonts w:ascii="Arial" w:hAnsi="Arial" w:cs="Arial"/>
          <w:lang w:val="en-GB"/>
        </w:rPr>
        <w:t>’</w:t>
      </w:r>
      <w:r w:rsidRPr="005723CB">
        <w:rPr>
          <w:rFonts w:ascii="Arial" w:hAnsi="Arial" w:cs="Arial"/>
          <w:lang w:val="en-GB"/>
        </w:rPr>
        <w:t xml:space="preserve"> must be established at the outgoing goods inspection stations. "We have implemented a sequenced retrieval of orders for shipping, following the pull principle</w:t>
      </w:r>
      <w:r w:rsidR="00D83801">
        <w:rPr>
          <w:rFonts w:ascii="Arial" w:hAnsi="Arial" w:cs="Arial"/>
          <w:lang w:val="en-GB"/>
        </w:rPr>
        <w:t>,</w:t>
      </w:r>
      <w:r w:rsidRPr="005723CB">
        <w:rPr>
          <w:rFonts w:ascii="Arial" w:hAnsi="Arial" w:cs="Arial"/>
          <w:lang w:val="en-GB"/>
        </w:rPr>
        <w:t xml:space="preserve">" explains Uwe Neumann, Sales Manager at TGW. "This approach required a close connection of our control system and software to </w:t>
      </w:r>
      <w:proofErr w:type="spellStart"/>
      <w:r w:rsidRPr="005723CB">
        <w:rPr>
          <w:rFonts w:ascii="Arial" w:hAnsi="Arial" w:cs="Arial"/>
          <w:lang w:val="en-GB"/>
        </w:rPr>
        <w:t>Böllhoff's</w:t>
      </w:r>
      <w:proofErr w:type="spellEnd"/>
      <w:r w:rsidRPr="005723CB">
        <w:rPr>
          <w:rFonts w:ascii="Arial" w:hAnsi="Arial" w:cs="Arial"/>
          <w:lang w:val="en-GB"/>
        </w:rPr>
        <w:t xml:space="preserve"> existing warehouse management system."</w:t>
      </w:r>
    </w:p>
    <w:p w:rsidR="00300FC4" w:rsidRPr="005723CB" w:rsidRDefault="00300FC4" w:rsidP="00BD35E0">
      <w:pPr>
        <w:pStyle w:val="Kopfzeile"/>
        <w:rPr>
          <w:rFonts w:ascii="Arial" w:hAnsi="Arial" w:cs="Arial"/>
          <w:b/>
          <w:bCs/>
          <w:i/>
          <w:iCs/>
          <w:lang w:val="en-GB"/>
        </w:rPr>
      </w:pPr>
      <w:r w:rsidRPr="005723CB">
        <w:rPr>
          <w:rFonts w:ascii="Arial" w:hAnsi="Arial" w:cs="Arial"/>
          <w:b/>
          <w:bCs/>
          <w:i/>
          <w:iCs/>
          <w:lang w:val="en-GB"/>
        </w:rPr>
        <w:t>Reducing unproductive times and weight loads</w:t>
      </w:r>
    </w:p>
    <w:p w:rsidR="00300FC4" w:rsidRPr="005723CB" w:rsidRDefault="00300FC4" w:rsidP="00BD35E0">
      <w:pPr>
        <w:pStyle w:val="Kopfzeile"/>
        <w:tabs>
          <w:tab w:val="clear" w:pos="4536"/>
          <w:tab w:val="clear" w:pos="9072"/>
        </w:tabs>
        <w:rPr>
          <w:rFonts w:ascii="Arial" w:hAnsi="Arial" w:cs="Arial"/>
          <w:lang w:val="en-GB"/>
        </w:rPr>
      </w:pPr>
      <w:r w:rsidRPr="005723CB">
        <w:rPr>
          <w:rFonts w:ascii="Arial" w:hAnsi="Arial" w:cs="Arial"/>
          <w:lang w:val="en-GB"/>
        </w:rPr>
        <w:t xml:space="preserve">The installation of the new buffering system was based on the identified improvement potential in the Logistics Centre North. "We </w:t>
      </w:r>
      <w:r w:rsidR="00682151">
        <w:rPr>
          <w:rFonts w:ascii="Arial" w:hAnsi="Arial" w:cs="Arial"/>
          <w:lang w:val="en-GB"/>
        </w:rPr>
        <w:t>noticed that</w:t>
      </w:r>
      <w:r w:rsidR="00FD0FAE">
        <w:rPr>
          <w:rFonts w:ascii="Arial" w:hAnsi="Arial" w:cs="Arial"/>
          <w:lang w:val="en-GB"/>
        </w:rPr>
        <w:t xml:space="preserve"> </w:t>
      </w:r>
      <w:r w:rsidRPr="005723CB">
        <w:rPr>
          <w:rFonts w:ascii="Arial" w:hAnsi="Arial" w:cs="Arial"/>
          <w:lang w:val="en-GB"/>
        </w:rPr>
        <w:t>the processes within the centre did</w:t>
      </w:r>
      <w:r w:rsidR="00682151">
        <w:rPr>
          <w:rFonts w:ascii="Arial" w:hAnsi="Arial" w:cs="Arial"/>
          <w:lang w:val="en-GB"/>
        </w:rPr>
        <w:t xml:space="preserve"> not </w:t>
      </w:r>
      <w:r w:rsidRPr="005723CB">
        <w:rPr>
          <w:rFonts w:ascii="Arial" w:hAnsi="Arial" w:cs="Arial"/>
          <w:lang w:val="en-GB"/>
        </w:rPr>
        <w:t>run 100% synchronously</w:t>
      </w:r>
      <w:r w:rsidR="00682151">
        <w:rPr>
          <w:rFonts w:ascii="Arial" w:hAnsi="Arial" w:cs="Arial"/>
          <w:lang w:val="en-GB"/>
        </w:rPr>
        <w:t xml:space="preserve">, which meant we would have to </w:t>
      </w:r>
      <w:r w:rsidRPr="005723CB">
        <w:rPr>
          <w:rFonts w:ascii="Arial" w:hAnsi="Arial" w:cs="Arial"/>
          <w:lang w:val="en-GB"/>
        </w:rPr>
        <w:t>waste time every now and then</w:t>
      </w:r>
      <w:r w:rsidR="00D83801">
        <w:rPr>
          <w:rFonts w:ascii="Arial" w:hAnsi="Arial" w:cs="Arial"/>
          <w:lang w:val="en-GB"/>
        </w:rPr>
        <w:t>,</w:t>
      </w:r>
      <w:r w:rsidRPr="005723CB">
        <w:rPr>
          <w:rFonts w:ascii="Arial" w:hAnsi="Arial" w:cs="Arial"/>
          <w:lang w:val="en-GB"/>
        </w:rPr>
        <w:t xml:space="preserve">" LC Director Hayrettin </w:t>
      </w:r>
      <w:proofErr w:type="spellStart"/>
      <w:r w:rsidRPr="005723CB">
        <w:rPr>
          <w:rFonts w:ascii="Arial" w:hAnsi="Arial" w:cs="Arial"/>
          <w:lang w:val="en-GB"/>
        </w:rPr>
        <w:t>Sariz</w:t>
      </w:r>
      <w:proofErr w:type="spellEnd"/>
      <w:r w:rsidRPr="005723CB">
        <w:rPr>
          <w:rFonts w:ascii="Arial" w:hAnsi="Arial" w:cs="Arial"/>
          <w:lang w:val="en-GB"/>
        </w:rPr>
        <w:t xml:space="preserve"> recalls. "Besides, </w:t>
      </w:r>
      <w:r w:rsidR="00682151">
        <w:rPr>
          <w:rFonts w:ascii="Arial" w:hAnsi="Arial" w:cs="Arial"/>
          <w:lang w:val="en-GB"/>
        </w:rPr>
        <w:t>w</w:t>
      </w:r>
      <w:r w:rsidRPr="005723CB">
        <w:rPr>
          <w:rFonts w:ascii="Arial" w:hAnsi="Arial" w:cs="Arial"/>
          <w:lang w:val="en-GB"/>
        </w:rPr>
        <w:t xml:space="preserve">e wanted to significantly </w:t>
      </w:r>
      <w:r w:rsidR="00682151">
        <w:rPr>
          <w:rFonts w:ascii="Arial" w:hAnsi="Arial" w:cs="Arial"/>
          <w:lang w:val="en-GB"/>
        </w:rPr>
        <w:t>increase the productivity of our workers without increasing their workload</w:t>
      </w:r>
      <w:r w:rsidR="00D83801">
        <w:rPr>
          <w:rFonts w:ascii="Arial" w:hAnsi="Arial" w:cs="Arial"/>
          <w:lang w:val="en-GB"/>
        </w:rPr>
        <w:t>.</w:t>
      </w:r>
      <w:r w:rsidRPr="005723CB">
        <w:rPr>
          <w:rFonts w:ascii="Arial" w:hAnsi="Arial" w:cs="Arial"/>
          <w:lang w:val="en-GB"/>
        </w:rPr>
        <w:t>"</w:t>
      </w:r>
    </w:p>
    <w:p w:rsidR="00300FC4" w:rsidRPr="005723CB" w:rsidRDefault="00300FC4" w:rsidP="00BD35E0">
      <w:pPr>
        <w:pStyle w:val="Kopfzeile"/>
        <w:tabs>
          <w:tab w:val="clear" w:pos="4536"/>
          <w:tab w:val="clear" w:pos="9072"/>
        </w:tabs>
        <w:rPr>
          <w:rFonts w:ascii="Arial" w:hAnsi="Arial" w:cs="Arial"/>
          <w:lang w:val="en-GB"/>
        </w:rPr>
      </w:pPr>
      <w:proofErr w:type="spellStart"/>
      <w:r w:rsidRPr="005723CB">
        <w:rPr>
          <w:rFonts w:ascii="Arial" w:hAnsi="Arial" w:cs="Arial"/>
          <w:lang w:val="en-GB"/>
        </w:rPr>
        <w:t>Böllhoff</w:t>
      </w:r>
      <w:proofErr w:type="spellEnd"/>
      <w:r w:rsidRPr="005723CB">
        <w:rPr>
          <w:rFonts w:ascii="Arial" w:hAnsi="Arial" w:cs="Arial"/>
          <w:lang w:val="en-GB"/>
        </w:rPr>
        <w:t xml:space="preserve"> asked a logistics planner to analyse the actual situation together and to define the requirements for a new solution. In a functional specification, the basic features of the new system were defined: isolation of the processes, creation of buffer positions for KLT totes, maximum storage/retrieval cycles per hour, implementation during live daily operations without risking the company's ability to supply its goods. Sebastian Rose adds: "It was very important for us to get a low-maintenance system with sufficient reserve capacity. Today, we have a 30% reserve as a minimum for the control of the new buffer." And the limited available space was already emphasised in the requirements specification, too.</w:t>
      </w:r>
    </w:p>
    <w:p w:rsidR="00300FC4" w:rsidRPr="005723CB" w:rsidRDefault="00300FC4" w:rsidP="00BD35E0">
      <w:pPr>
        <w:pStyle w:val="Kopfzeile"/>
        <w:tabs>
          <w:tab w:val="clear" w:pos="4536"/>
          <w:tab w:val="clear" w:pos="9072"/>
        </w:tabs>
        <w:rPr>
          <w:rFonts w:ascii="Arial" w:hAnsi="Arial" w:cs="Arial"/>
          <w:b/>
          <w:bCs/>
          <w:i/>
          <w:iCs/>
          <w:lang w:val="en-GB"/>
        </w:rPr>
      </w:pPr>
      <w:r w:rsidRPr="005723CB">
        <w:rPr>
          <w:rFonts w:ascii="Arial" w:hAnsi="Arial" w:cs="Arial"/>
          <w:b/>
          <w:bCs/>
          <w:i/>
          <w:iCs/>
          <w:lang w:val="en-GB"/>
        </w:rPr>
        <w:t>A comprehensive package – reliability, performance, energy efficiency</w:t>
      </w:r>
    </w:p>
    <w:p w:rsidR="00300FC4" w:rsidRPr="005723CB" w:rsidRDefault="00300FC4" w:rsidP="00BD35E0">
      <w:pPr>
        <w:pStyle w:val="Kopfzeile"/>
        <w:tabs>
          <w:tab w:val="clear" w:pos="4536"/>
          <w:tab w:val="clear" w:pos="9072"/>
        </w:tabs>
        <w:rPr>
          <w:rFonts w:ascii="Arial" w:hAnsi="Arial" w:cs="Arial"/>
          <w:lang w:val="en-GB"/>
        </w:rPr>
      </w:pPr>
      <w:r w:rsidRPr="005723CB">
        <w:rPr>
          <w:rFonts w:ascii="Arial" w:hAnsi="Arial" w:cs="Arial"/>
          <w:lang w:val="en-GB"/>
        </w:rPr>
        <w:lastRenderedPageBreak/>
        <w:t xml:space="preserve">TGW's Commissioner </w:t>
      </w:r>
      <w:r w:rsidR="00682151">
        <w:rPr>
          <w:rFonts w:ascii="Arial" w:hAnsi="Arial" w:cs="Arial"/>
          <w:lang w:val="en-GB"/>
        </w:rPr>
        <w:t xml:space="preserve">was selected over several </w:t>
      </w:r>
      <w:r w:rsidRPr="005723CB">
        <w:rPr>
          <w:rFonts w:ascii="Arial" w:hAnsi="Arial" w:cs="Arial"/>
          <w:lang w:val="en-GB"/>
        </w:rPr>
        <w:t xml:space="preserve">competitors. The decisive factor of the customer for awarding the contract to TGW was the comprehensive solution package - the integration of the new system into </w:t>
      </w:r>
      <w:proofErr w:type="spellStart"/>
      <w:r w:rsidRPr="005723CB">
        <w:rPr>
          <w:rFonts w:ascii="Arial" w:hAnsi="Arial" w:cs="Arial"/>
          <w:lang w:val="en-GB"/>
        </w:rPr>
        <w:t>Böllhoff's</w:t>
      </w:r>
      <w:proofErr w:type="spellEnd"/>
      <w:r w:rsidRPr="005723CB">
        <w:rPr>
          <w:rFonts w:ascii="Arial" w:hAnsi="Arial" w:cs="Arial"/>
          <w:lang w:val="en-GB"/>
        </w:rPr>
        <w:t xml:space="preserve"> existing warehouse management system, the controls concept, the modular design, the technology's high performance and reliability. </w:t>
      </w:r>
    </w:p>
    <w:p w:rsidR="00300FC4" w:rsidRPr="005723CB" w:rsidRDefault="00682151" w:rsidP="00BD35E0">
      <w:pPr>
        <w:pStyle w:val="Kopfzeile"/>
        <w:tabs>
          <w:tab w:val="clear" w:pos="4536"/>
          <w:tab w:val="clear" w:pos="9072"/>
        </w:tabs>
        <w:rPr>
          <w:rFonts w:ascii="Arial" w:hAnsi="Arial" w:cs="Arial"/>
          <w:lang w:val="en-GB"/>
        </w:rPr>
      </w:pPr>
      <w:r>
        <w:rPr>
          <w:rFonts w:ascii="Arial" w:hAnsi="Arial" w:cs="Arial"/>
          <w:lang w:val="en-GB"/>
        </w:rPr>
        <w:t>E</w:t>
      </w:r>
      <w:r w:rsidR="00300FC4" w:rsidRPr="005723CB">
        <w:rPr>
          <w:rFonts w:ascii="Arial" w:hAnsi="Arial" w:cs="Arial"/>
          <w:lang w:val="en-GB"/>
        </w:rPr>
        <w:t xml:space="preserve">nergy efficiency was </w:t>
      </w:r>
      <w:r>
        <w:rPr>
          <w:rFonts w:ascii="Arial" w:hAnsi="Arial" w:cs="Arial"/>
          <w:lang w:val="en-GB"/>
        </w:rPr>
        <w:t xml:space="preserve">also </w:t>
      </w:r>
      <w:r w:rsidR="00300FC4" w:rsidRPr="005723CB">
        <w:rPr>
          <w:rFonts w:ascii="Arial" w:hAnsi="Arial" w:cs="Arial"/>
          <w:lang w:val="en-GB"/>
        </w:rPr>
        <w:t xml:space="preserve">an important topic. </w:t>
      </w:r>
      <w:r w:rsidR="00FD0FAE">
        <w:rPr>
          <w:rFonts w:ascii="Arial" w:hAnsi="Arial" w:cs="Arial"/>
          <w:lang w:val="en-GB"/>
        </w:rPr>
        <w:t>TGW’s</w:t>
      </w:r>
      <w:r w:rsidR="00300FC4" w:rsidRPr="005723CB">
        <w:rPr>
          <w:rFonts w:ascii="Arial" w:hAnsi="Arial" w:cs="Arial"/>
          <w:lang w:val="en-GB"/>
        </w:rPr>
        <w:t xml:space="preserve"> energy-efficient components, </w:t>
      </w:r>
      <w:r>
        <w:rPr>
          <w:rFonts w:ascii="Arial" w:hAnsi="Arial" w:cs="Arial"/>
          <w:lang w:val="en-GB"/>
        </w:rPr>
        <w:t xml:space="preserve">ability </w:t>
      </w:r>
      <w:r w:rsidR="00300FC4" w:rsidRPr="005723CB">
        <w:rPr>
          <w:rFonts w:ascii="Arial" w:hAnsi="Arial" w:cs="Arial"/>
          <w:lang w:val="en-GB"/>
        </w:rPr>
        <w:t>to integrate energy feedback modules into the storage machines</w:t>
      </w:r>
      <w:r>
        <w:rPr>
          <w:rFonts w:ascii="Arial" w:hAnsi="Arial" w:cs="Arial"/>
          <w:lang w:val="en-GB"/>
        </w:rPr>
        <w:t>,</w:t>
      </w:r>
      <w:r w:rsidR="00300FC4" w:rsidRPr="005723CB">
        <w:rPr>
          <w:rFonts w:ascii="Arial" w:hAnsi="Arial" w:cs="Arial"/>
          <w:lang w:val="en-GB"/>
        </w:rPr>
        <w:t xml:space="preserve"> and to dimension all drives according to their specific requirements</w:t>
      </w:r>
      <w:r>
        <w:rPr>
          <w:rFonts w:ascii="Arial" w:hAnsi="Arial" w:cs="Arial"/>
          <w:lang w:val="en-GB"/>
        </w:rPr>
        <w:t xml:space="preserve"> was important</w:t>
      </w:r>
      <w:r w:rsidR="00300FC4" w:rsidRPr="005723CB">
        <w:rPr>
          <w:rFonts w:ascii="Arial" w:hAnsi="Arial" w:cs="Arial"/>
          <w:lang w:val="en-GB"/>
        </w:rPr>
        <w:t>. "We had to rely on the manufacturers' power specifications during the contract awarding process</w:t>
      </w:r>
      <w:r>
        <w:rPr>
          <w:rFonts w:ascii="Arial" w:hAnsi="Arial" w:cs="Arial"/>
          <w:lang w:val="en-GB"/>
        </w:rPr>
        <w:t xml:space="preserve">,” </w:t>
      </w:r>
      <w:r w:rsidR="00FD0FAE">
        <w:rPr>
          <w:rFonts w:ascii="Arial" w:hAnsi="Arial" w:cs="Arial"/>
          <w:lang w:val="en-GB"/>
        </w:rPr>
        <w:t>comments</w:t>
      </w:r>
      <w:r>
        <w:rPr>
          <w:rFonts w:ascii="Arial" w:hAnsi="Arial" w:cs="Arial"/>
          <w:lang w:val="en-GB"/>
        </w:rPr>
        <w:t xml:space="preserve"> </w:t>
      </w:r>
      <w:r w:rsidRPr="005723CB">
        <w:rPr>
          <w:rFonts w:ascii="Arial" w:hAnsi="Arial" w:cs="Arial"/>
          <w:lang w:val="en-GB"/>
        </w:rPr>
        <w:t>Sebastian Rose</w:t>
      </w:r>
      <w:r w:rsidR="00300FC4" w:rsidRPr="005723CB">
        <w:rPr>
          <w:rFonts w:ascii="Arial" w:hAnsi="Arial" w:cs="Arial"/>
          <w:lang w:val="en-GB"/>
        </w:rPr>
        <w:t xml:space="preserve">. </w:t>
      </w:r>
      <w:r>
        <w:rPr>
          <w:rFonts w:ascii="Arial" w:hAnsi="Arial" w:cs="Arial"/>
          <w:lang w:val="en-GB"/>
        </w:rPr>
        <w:t>“</w:t>
      </w:r>
      <w:r w:rsidR="00300FC4" w:rsidRPr="005723CB">
        <w:rPr>
          <w:rFonts w:ascii="Arial" w:hAnsi="Arial" w:cs="Arial"/>
          <w:lang w:val="en-GB"/>
        </w:rPr>
        <w:t>Thanks to our exact records we know now that the Commissioner solution consumes significantly less energy than our previously used conveyor loop buffer</w:t>
      </w:r>
      <w:r>
        <w:rPr>
          <w:rFonts w:ascii="Arial" w:hAnsi="Arial" w:cs="Arial"/>
          <w:lang w:val="en-GB"/>
        </w:rPr>
        <w:t xml:space="preserve">, and </w:t>
      </w:r>
      <w:r w:rsidR="00300FC4" w:rsidRPr="005723CB">
        <w:rPr>
          <w:rFonts w:ascii="Arial" w:hAnsi="Arial" w:cs="Arial"/>
          <w:lang w:val="en-GB"/>
        </w:rPr>
        <w:t>with a considerably higher performance</w:t>
      </w:r>
      <w:r>
        <w:rPr>
          <w:rFonts w:ascii="Arial" w:hAnsi="Arial" w:cs="Arial"/>
          <w:lang w:val="en-GB"/>
        </w:rPr>
        <w:t>.</w:t>
      </w:r>
      <w:r w:rsidR="00300FC4" w:rsidRPr="005723CB">
        <w:rPr>
          <w:rFonts w:ascii="Arial" w:hAnsi="Arial" w:cs="Arial"/>
          <w:lang w:val="en-GB"/>
        </w:rPr>
        <w:t>"</w:t>
      </w:r>
    </w:p>
    <w:p w:rsidR="00300FC4" w:rsidRPr="005723CB" w:rsidRDefault="00300FC4" w:rsidP="00BD35E0">
      <w:pPr>
        <w:pStyle w:val="Kopfzeile"/>
        <w:tabs>
          <w:tab w:val="clear" w:pos="4536"/>
          <w:tab w:val="clear" w:pos="9072"/>
        </w:tabs>
        <w:rPr>
          <w:rFonts w:ascii="Arial" w:hAnsi="Arial" w:cs="Arial"/>
          <w:b/>
          <w:bCs/>
          <w:i/>
          <w:iCs/>
          <w:lang w:val="en-GB"/>
        </w:rPr>
      </w:pPr>
      <w:r w:rsidRPr="005723CB">
        <w:rPr>
          <w:rFonts w:ascii="Arial" w:hAnsi="Arial" w:cs="Arial"/>
          <w:b/>
          <w:bCs/>
          <w:i/>
          <w:iCs/>
          <w:lang w:val="en-GB"/>
        </w:rPr>
        <w:t>No interruption of operations during extension</w:t>
      </w:r>
    </w:p>
    <w:p w:rsidR="00300FC4" w:rsidRPr="005723CB" w:rsidRDefault="00300FC4" w:rsidP="00BD35E0">
      <w:pPr>
        <w:pStyle w:val="Kopfzeile"/>
        <w:tabs>
          <w:tab w:val="clear" w:pos="4536"/>
          <w:tab w:val="clear" w:pos="9072"/>
        </w:tabs>
        <w:rPr>
          <w:rFonts w:ascii="Arial" w:hAnsi="Arial" w:cs="Arial"/>
          <w:lang w:val="en-GB"/>
        </w:rPr>
      </w:pPr>
      <w:r w:rsidRPr="005723CB">
        <w:rPr>
          <w:rFonts w:ascii="Arial" w:hAnsi="Arial" w:cs="Arial"/>
          <w:lang w:val="en-GB"/>
        </w:rPr>
        <w:t>"The integration of this solution into the existing building structure was one of the biggest challenges, since we had to make sure not to interrupt the daily operations by any means</w:t>
      </w:r>
      <w:r w:rsidR="00D83801">
        <w:rPr>
          <w:rFonts w:ascii="Arial" w:hAnsi="Arial" w:cs="Arial"/>
          <w:lang w:val="en-GB"/>
        </w:rPr>
        <w:t>,</w:t>
      </w:r>
      <w:r w:rsidRPr="005723CB">
        <w:rPr>
          <w:rFonts w:ascii="Arial" w:hAnsi="Arial" w:cs="Arial"/>
          <w:lang w:val="en-GB"/>
        </w:rPr>
        <w:t xml:space="preserve">" says Uwe Neumann. </w:t>
      </w:r>
      <w:r w:rsidR="005E712E">
        <w:rPr>
          <w:rFonts w:ascii="Arial" w:hAnsi="Arial" w:cs="Arial"/>
          <w:lang w:val="en-GB"/>
        </w:rPr>
        <w:t>“</w:t>
      </w:r>
      <w:r w:rsidRPr="005723CB">
        <w:rPr>
          <w:rFonts w:ascii="Arial" w:hAnsi="Arial" w:cs="Arial"/>
          <w:lang w:val="en-GB"/>
        </w:rPr>
        <w:t xml:space="preserve">Therefore, much of the work was done outside </w:t>
      </w:r>
      <w:proofErr w:type="spellStart"/>
      <w:r w:rsidRPr="005723CB">
        <w:rPr>
          <w:rFonts w:ascii="Arial" w:hAnsi="Arial" w:cs="Arial"/>
          <w:lang w:val="en-GB"/>
        </w:rPr>
        <w:t>Böllhoff's</w:t>
      </w:r>
      <w:proofErr w:type="spellEnd"/>
      <w:r w:rsidRPr="005723CB">
        <w:rPr>
          <w:rFonts w:ascii="Arial" w:hAnsi="Arial" w:cs="Arial"/>
          <w:lang w:val="en-GB"/>
        </w:rPr>
        <w:t xml:space="preserve"> operating hours, such as the erection of the conveyor system platform and the insertion of the Commissioner lifting beams</w:t>
      </w:r>
      <w:r w:rsidR="005E712E">
        <w:rPr>
          <w:rFonts w:ascii="Arial" w:hAnsi="Arial" w:cs="Arial"/>
          <w:lang w:val="en-GB"/>
        </w:rPr>
        <w:t xml:space="preserve">. According to </w:t>
      </w:r>
      <w:r w:rsidR="005E712E" w:rsidRPr="005723CB">
        <w:rPr>
          <w:rFonts w:ascii="Arial" w:hAnsi="Arial" w:cs="Arial"/>
          <w:lang w:val="en-GB"/>
        </w:rPr>
        <w:t xml:space="preserve">Hayrettin </w:t>
      </w:r>
      <w:proofErr w:type="spellStart"/>
      <w:r w:rsidR="005E712E" w:rsidRPr="005723CB">
        <w:rPr>
          <w:rFonts w:ascii="Arial" w:hAnsi="Arial" w:cs="Arial"/>
          <w:lang w:val="en-GB"/>
        </w:rPr>
        <w:t>Sariz</w:t>
      </w:r>
      <w:proofErr w:type="spellEnd"/>
      <w:r w:rsidR="005E712E">
        <w:rPr>
          <w:rFonts w:ascii="Arial" w:hAnsi="Arial" w:cs="Arial"/>
          <w:lang w:val="en-GB"/>
        </w:rPr>
        <w:t xml:space="preserve">, everyone worked hard to make it happen. </w:t>
      </w:r>
      <w:r w:rsidRPr="005723CB">
        <w:rPr>
          <w:rFonts w:ascii="Arial" w:hAnsi="Arial" w:cs="Arial"/>
          <w:lang w:val="en-GB"/>
        </w:rPr>
        <w:t>Our Maintenance department and TGW made a top job here, even if one or another weekend had to be used</w:t>
      </w:r>
      <w:r w:rsidR="005E712E">
        <w:rPr>
          <w:rFonts w:ascii="Arial" w:hAnsi="Arial" w:cs="Arial"/>
          <w:lang w:val="en-GB"/>
        </w:rPr>
        <w:t>.</w:t>
      </w:r>
      <w:r w:rsidRPr="005723CB">
        <w:rPr>
          <w:rFonts w:ascii="Arial" w:hAnsi="Arial" w:cs="Arial"/>
          <w:lang w:val="en-GB"/>
        </w:rPr>
        <w:t>"</w:t>
      </w:r>
      <w:r w:rsidR="005E712E">
        <w:rPr>
          <w:rFonts w:ascii="Arial" w:hAnsi="Arial" w:cs="Arial"/>
          <w:lang w:val="en-GB"/>
        </w:rPr>
        <w:t xml:space="preserve"> Having the requirements well-determined</w:t>
      </w:r>
      <w:r w:rsidR="00762E7D">
        <w:rPr>
          <w:rFonts w:ascii="Arial" w:hAnsi="Arial" w:cs="Arial"/>
          <w:lang w:val="en-GB"/>
        </w:rPr>
        <w:t xml:space="preserve"> beforehand made the job easier</w:t>
      </w:r>
      <w:r w:rsidRPr="005723CB">
        <w:rPr>
          <w:rFonts w:ascii="Arial" w:hAnsi="Arial" w:cs="Arial"/>
          <w:lang w:val="en-GB"/>
        </w:rPr>
        <w:t xml:space="preserve"> </w:t>
      </w:r>
      <w:r w:rsidR="005E712E">
        <w:rPr>
          <w:rFonts w:ascii="Arial" w:hAnsi="Arial" w:cs="Arial"/>
          <w:lang w:val="en-GB"/>
        </w:rPr>
        <w:t xml:space="preserve">as </w:t>
      </w:r>
      <w:r w:rsidRPr="005723CB">
        <w:rPr>
          <w:rFonts w:ascii="Arial" w:hAnsi="Arial" w:cs="Arial"/>
          <w:lang w:val="en-GB"/>
        </w:rPr>
        <w:t>all people involved were able to prepare.</w:t>
      </w:r>
    </w:p>
    <w:p w:rsidR="00300FC4" w:rsidRPr="005723CB" w:rsidRDefault="00300FC4" w:rsidP="00BD35E0">
      <w:pPr>
        <w:pStyle w:val="Kopfzeile"/>
        <w:tabs>
          <w:tab w:val="clear" w:pos="4536"/>
          <w:tab w:val="clear" w:pos="9072"/>
        </w:tabs>
        <w:rPr>
          <w:rFonts w:ascii="Arial" w:hAnsi="Arial" w:cs="Arial"/>
          <w:lang w:val="en-GB"/>
        </w:rPr>
      </w:pPr>
      <w:r w:rsidRPr="005723CB">
        <w:rPr>
          <w:rFonts w:ascii="Arial" w:hAnsi="Arial" w:cs="Arial"/>
          <w:lang w:val="en-GB"/>
        </w:rPr>
        <w:t xml:space="preserve">The IT challenges were also mastered in close cooperation. TGW mapped the complex strategies for the flexible retrieval of orders from the buffer in its own warehouse control software CI_LOG. </w:t>
      </w:r>
      <w:r w:rsidR="005E712E" w:rsidRPr="005723CB">
        <w:rPr>
          <w:rFonts w:ascii="Arial" w:hAnsi="Arial" w:cs="Arial"/>
          <w:lang w:val="en-GB"/>
        </w:rPr>
        <w:t xml:space="preserve">TGW implemented an interface </w:t>
      </w:r>
      <w:r w:rsidR="005E712E">
        <w:rPr>
          <w:rFonts w:ascii="Arial" w:hAnsi="Arial" w:cs="Arial"/>
          <w:lang w:val="en-GB"/>
        </w:rPr>
        <w:t xml:space="preserve">between the warehouse control and </w:t>
      </w:r>
      <w:proofErr w:type="spellStart"/>
      <w:r w:rsidR="005E712E" w:rsidRPr="005723CB">
        <w:rPr>
          <w:rFonts w:ascii="Arial" w:hAnsi="Arial" w:cs="Arial"/>
          <w:lang w:val="en-GB"/>
        </w:rPr>
        <w:t>Böllhoff</w:t>
      </w:r>
      <w:r w:rsidR="005E712E">
        <w:rPr>
          <w:rFonts w:ascii="Arial" w:hAnsi="Arial" w:cs="Arial"/>
          <w:lang w:val="en-GB"/>
        </w:rPr>
        <w:t>’s</w:t>
      </w:r>
      <w:proofErr w:type="spellEnd"/>
      <w:r w:rsidR="005E712E">
        <w:rPr>
          <w:rFonts w:ascii="Arial" w:hAnsi="Arial" w:cs="Arial"/>
          <w:lang w:val="en-GB"/>
        </w:rPr>
        <w:t xml:space="preserve"> </w:t>
      </w:r>
      <w:r w:rsidRPr="005723CB">
        <w:rPr>
          <w:rFonts w:ascii="Arial" w:hAnsi="Arial" w:cs="Arial"/>
          <w:lang w:val="en-GB"/>
        </w:rPr>
        <w:t xml:space="preserve">WMS used by </w:t>
      </w:r>
      <w:proofErr w:type="spellStart"/>
      <w:r w:rsidRPr="005723CB">
        <w:rPr>
          <w:rFonts w:ascii="Arial" w:hAnsi="Arial" w:cs="Arial"/>
          <w:lang w:val="en-GB"/>
        </w:rPr>
        <w:t>Böllhoff</w:t>
      </w:r>
      <w:proofErr w:type="spellEnd"/>
      <w:r w:rsidRPr="005723CB">
        <w:rPr>
          <w:rFonts w:ascii="Arial" w:hAnsi="Arial" w:cs="Arial"/>
          <w:lang w:val="en-GB"/>
        </w:rPr>
        <w:t xml:space="preserve">. In the meanwhile TGW implemented an interface </w:t>
      </w:r>
      <w:r w:rsidR="00762E7D">
        <w:rPr>
          <w:rFonts w:ascii="Arial" w:hAnsi="Arial" w:cs="Arial"/>
          <w:lang w:val="en-GB"/>
        </w:rPr>
        <w:t>that</w:t>
      </w:r>
      <w:r w:rsidRPr="005723CB">
        <w:rPr>
          <w:rFonts w:ascii="Arial" w:hAnsi="Arial" w:cs="Arial"/>
          <w:lang w:val="en-GB"/>
        </w:rPr>
        <w:t xml:space="preserve"> ensures optimum interactions between the two systems.</w:t>
      </w:r>
    </w:p>
    <w:p w:rsidR="00300FC4" w:rsidRPr="005723CB" w:rsidRDefault="00300FC4" w:rsidP="00BD35E0">
      <w:pPr>
        <w:pStyle w:val="Kopfzeile"/>
        <w:tabs>
          <w:tab w:val="clear" w:pos="4536"/>
          <w:tab w:val="clear" w:pos="9072"/>
        </w:tabs>
        <w:rPr>
          <w:rFonts w:ascii="Arial" w:hAnsi="Arial" w:cs="Arial"/>
          <w:b/>
          <w:bCs/>
          <w:i/>
          <w:iCs/>
          <w:lang w:val="en-GB"/>
        </w:rPr>
      </w:pPr>
      <w:r w:rsidRPr="005723CB">
        <w:rPr>
          <w:rFonts w:ascii="Arial" w:hAnsi="Arial" w:cs="Arial"/>
          <w:b/>
          <w:bCs/>
          <w:i/>
          <w:iCs/>
          <w:lang w:val="en-GB"/>
        </w:rPr>
        <w:lastRenderedPageBreak/>
        <w:t>Change management as key to success</w:t>
      </w:r>
    </w:p>
    <w:p w:rsidR="00300FC4" w:rsidRPr="005723CB" w:rsidRDefault="00300FC4" w:rsidP="00BD35E0">
      <w:pPr>
        <w:pStyle w:val="Kopfzeile"/>
        <w:tabs>
          <w:tab w:val="clear" w:pos="4536"/>
          <w:tab w:val="clear" w:pos="9072"/>
        </w:tabs>
        <w:rPr>
          <w:rFonts w:ascii="Arial" w:hAnsi="Arial" w:cs="Arial"/>
          <w:lang w:val="en-GB"/>
        </w:rPr>
      </w:pPr>
      <w:proofErr w:type="spellStart"/>
      <w:r w:rsidRPr="005723CB">
        <w:rPr>
          <w:rFonts w:ascii="Arial" w:hAnsi="Arial" w:cs="Arial"/>
          <w:lang w:val="en-GB"/>
        </w:rPr>
        <w:t>Böllhoff's</w:t>
      </w:r>
      <w:proofErr w:type="spellEnd"/>
      <w:r w:rsidRPr="005723CB">
        <w:rPr>
          <w:rFonts w:ascii="Arial" w:hAnsi="Arial" w:cs="Arial"/>
          <w:lang w:val="en-GB"/>
        </w:rPr>
        <w:t xml:space="preserve"> new system has been in live operation since the beginning of 2012</w:t>
      </w:r>
      <w:r w:rsidR="005E712E">
        <w:rPr>
          <w:rFonts w:ascii="Arial" w:hAnsi="Arial" w:cs="Arial"/>
          <w:lang w:val="en-GB"/>
        </w:rPr>
        <w:t xml:space="preserve"> and the </w:t>
      </w:r>
      <w:r w:rsidRPr="005723CB">
        <w:rPr>
          <w:rFonts w:ascii="Arial" w:hAnsi="Arial" w:cs="Arial"/>
          <w:lang w:val="en-GB"/>
        </w:rPr>
        <w:t xml:space="preserve">increase in productivity within the entire logistics centre </w:t>
      </w:r>
      <w:r w:rsidR="005E712E">
        <w:rPr>
          <w:rFonts w:ascii="Arial" w:hAnsi="Arial" w:cs="Arial"/>
          <w:lang w:val="en-GB"/>
        </w:rPr>
        <w:t xml:space="preserve">is </w:t>
      </w:r>
      <w:r w:rsidRPr="005723CB">
        <w:rPr>
          <w:rFonts w:ascii="Arial" w:hAnsi="Arial" w:cs="Arial"/>
          <w:lang w:val="en-GB"/>
        </w:rPr>
        <w:t xml:space="preserve">as expected, as LC Director Hayrettin </w:t>
      </w:r>
      <w:proofErr w:type="spellStart"/>
      <w:r w:rsidRPr="005723CB">
        <w:rPr>
          <w:rFonts w:ascii="Arial" w:hAnsi="Arial" w:cs="Arial"/>
          <w:lang w:val="en-GB"/>
        </w:rPr>
        <w:t>Sariz</w:t>
      </w:r>
      <w:proofErr w:type="spellEnd"/>
      <w:r w:rsidRPr="005723CB">
        <w:rPr>
          <w:rFonts w:ascii="Arial" w:hAnsi="Arial" w:cs="Arial"/>
          <w:lang w:val="en-GB"/>
        </w:rPr>
        <w:t xml:space="preserve"> points out. "You must not forget that our employees work quite differently today compared to one year ago, even if many of them no longer remember that." However, change management was really essential at the beginning. The staff had to lose their doubts and </w:t>
      </w:r>
      <w:r w:rsidR="005E712E">
        <w:rPr>
          <w:rFonts w:ascii="Arial" w:hAnsi="Arial" w:cs="Arial"/>
          <w:lang w:val="en-GB"/>
        </w:rPr>
        <w:t xml:space="preserve">uncertainty </w:t>
      </w:r>
      <w:r w:rsidRPr="005723CB">
        <w:rPr>
          <w:rFonts w:ascii="Arial" w:hAnsi="Arial" w:cs="Arial"/>
          <w:lang w:val="en-GB"/>
        </w:rPr>
        <w:t>of the new technology and become aware of its advantages. Today, no one wants to do without the Commissioner buffer.</w:t>
      </w:r>
    </w:p>
    <w:p w:rsidR="00300FC4" w:rsidRPr="005723CB" w:rsidRDefault="00300FC4" w:rsidP="00BD35E0">
      <w:pPr>
        <w:pStyle w:val="Kopfzeile"/>
        <w:tabs>
          <w:tab w:val="clear" w:pos="4536"/>
          <w:tab w:val="clear" w:pos="9072"/>
        </w:tabs>
        <w:rPr>
          <w:rFonts w:ascii="Arial" w:hAnsi="Arial" w:cs="Arial"/>
          <w:lang w:val="en-GB"/>
        </w:rPr>
      </w:pPr>
      <w:r w:rsidRPr="005723CB">
        <w:rPr>
          <w:rFonts w:ascii="Arial" w:hAnsi="Arial" w:cs="Arial"/>
          <w:lang w:val="en-GB"/>
        </w:rPr>
        <w:t>And the in-house maintenance department is highly satisfied, too. The excellently skilled team around Sebastian Rose was intensively trained by TGW to be able to optimally service the system. "We attach great importance to preventive maintenance and a consistent documentation of the work in our in-house developed IT maintenance tool</w:t>
      </w:r>
      <w:r w:rsidR="00762E7D">
        <w:rPr>
          <w:rFonts w:ascii="Arial" w:hAnsi="Arial" w:cs="Arial"/>
          <w:lang w:val="en-GB"/>
        </w:rPr>
        <w:t>,” Ros</w:t>
      </w:r>
      <w:r w:rsidR="005E712E">
        <w:rPr>
          <w:rFonts w:ascii="Arial" w:hAnsi="Arial" w:cs="Arial"/>
          <w:lang w:val="en-GB"/>
        </w:rPr>
        <w:t>e adds. “</w:t>
      </w:r>
      <w:r w:rsidRPr="005723CB">
        <w:rPr>
          <w:rFonts w:ascii="Arial" w:hAnsi="Arial" w:cs="Arial"/>
          <w:lang w:val="en-GB"/>
        </w:rPr>
        <w:t>The training provided by TGW permits us to carry out the necessary work for the Commissioners and the new material handling equipment as skilled experts</w:t>
      </w:r>
      <w:r w:rsidR="00D83801">
        <w:rPr>
          <w:rFonts w:ascii="Arial" w:hAnsi="Arial" w:cs="Arial"/>
          <w:lang w:val="en-GB"/>
        </w:rPr>
        <w:t>,</w:t>
      </w:r>
      <w:r w:rsidRPr="005723CB">
        <w:rPr>
          <w:rFonts w:ascii="Arial" w:hAnsi="Arial" w:cs="Arial"/>
          <w:lang w:val="en-GB"/>
        </w:rPr>
        <w:t>" This strategy will help to prevent breakdowns of the automation solution in the long run.</w:t>
      </w:r>
    </w:p>
    <w:p w:rsidR="00300FC4" w:rsidRPr="005723CB" w:rsidRDefault="00300FC4">
      <w:pPr>
        <w:rPr>
          <w:rFonts w:ascii="Arial" w:hAnsi="Arial" w:cs="Arial"/>
          <w:lang w:val="en-GB"/>
        </w:rPr>
      </w:pPr>
    </w:p>
    <w:p w:rsidR="00300FC4" w:rsidRPr="005723CB" w:rsidRDefault="00300FC4">
      <w:pPr>
        <w:rPr>
          <w:rFonts w:ascii="Arial" w:hAnsi="Arial" w:cs="Arial"/>
          <w:lang w:val="en-GB"/>
        </w:rPr>
      </w:pPr>
      <w:r w:rsidRPr="005723CB">
        <w:rPr>
          <w:rFonts w:ascii="Arial" w:hAnsi="Arial" w:cs="Arial"/>
          <w:lang w:val="en-GB"/>
        </w:rPr>
        <w:t>www.tgw-group.com</w:t>
      </w:r>
    </w:p>
    <w:p w:rsidR="00300FC4" w:rsidRPr="005723CB" w:rsidRDefault="00300FC4">
      <w:pPr>
        <w:rPr>
          <w:rFonts w:ascii="Arial" w:hAnsi="Arial" w:cs="Arial"/>
          <w:lang w:val="en-GB"/>
        </w:rPr>
      </w:pPr>
    </w:p>
    <w:p w:rsidR="00300FC4" w:rsidRPr="005723CB" w:rsidRDefault="00300FC4" w:rsidP="00FE2FD5">
      <w:pPr>
        <w:spacing w:after="0"/>
        <w:rPr>
          <w:rFonts w:ascii="Arial" w:hAnsi="Arial" w:cs="Arial"/>
          <w:b/>
          <w:bCs/>
          <w:i/>
          <w:iCs/>
          <w:lang w:val="en-GB"/>
        </w:rPr>
      </w:pPr>
      <w:r w:rsidRPr="005723CB">
        <w:rPr>
          <w:rFonts w:ascii="Arial" w:hAnsi="Arial" w:cs="Arial"/>
          <w:b/>
          <w:bCs/>
          <w:i/>
          <w:iCs/>
          <w:lang w:val="en-GB"/>
        </w:rPr>
        <w:t>Project schedule:</w:t>
      </w:r>
    </w:p>
    <w:p w:rsidR="00300FC4" w:rsidRPr="005723CB" w:rsidRDefault="00300FC4" w:rsidP="00FE2FD5">
      <w:pPr>
        <w:numPr>
          <w:ilvl w:val="0"/>
          <w:numId w:val="1"/>
        </w:numPr>
        <w:tabs>
          <w:tab w:val="left" w:pos="709"/>
          <w:tab w:val="left" w:pos="3828"/>
        </w:tabs>
        <w:spacing w:after="0"/>
        <w:rPr>
          <w:rFonts w:ascii="Arial" w:hAnsi="Arial" w:cs="Arial"/>
          <w:lang w:val="en-GB"/>
        </w:rPr>
      </w:pPr>
      <w:r w:rsidRPr="005723CB">
        <w:rPr>
          <w:rFonts w:ascii="Arial" w:hAnsi="Arial" w:cs="Arial"/>
          <w:lang w:val="en-GB"/>
        </w:rPr>
        <w:t xml:space="preserve">Award of contract: </w:t>
      </w:r>
      <w:r w:rsidRPr="005723CB">
        <w:rPr>
          <w:rFonts w:ascii="Arial" w:hAnsi="Arial" w:cs="Arial"/>
          <w:lang w:val="en-GB"/>
        </w:rPr>
        <w:tab/>
        <w:t>2011-05-30</w:t>
      </w:r>
    </w:p>
    <w:p w:rsidR="00300FC4" w:rsidRPr="005723CB" w:rsidRDefault="00300FC4" w:rsidP="00FE2FD5">
      <w:pPr>
        <w:numPr>
          <w:ilvl w:val="0"/>
          <w:numId w:val="1"/>
        </w:numPr>
        <w:tabs>
          <w:tab w:val="left" w:pos="709"/>
          <w:tab w:val="left" w:pos="3828"/>
        </w:tabs>
        <w:spacing w:after="0"/>
        <w:rPr>
          <w:rFonts w:ascii="Arial" w:hAnsi="Arial" w:cs="Arial"/>
          <w:lang w:val="en-GB"/>
        </w:rPr>
      </w:pPr>
      <w:r w:rsidRPr="005723CB">
        <w:rPr>
          <w:rFonts w:ascii="Arial" w:hAnsi="Arial" w:cs="Arial"/>
          <w:lang w:val="en-GB"/>
        </w:rPr>
        <w:t xml:space="preserve">Start of erection (platform): </w:t>
      </w:r>
      <w:r w:rsidRPr="005723CB">
        <w:rPr>
          <w:rFonts w:ascii="Arial" w:hAnsi="Arial" w:cs="Arial"/>
          <w:lang w:val="en-GB"/>
        </w:rPr>
        <w:tab/>
        <w:t>2011-09-30</w:t>
      </w:r>
    </w:p>
    <w:p w:rsidR="00300FC4" w:rsidRPr="005723CB" w:rsidRDefault="00300FC4" w:rsidP="00FE2FD5">
      <w:pPr>
        <w:numPr>
          <w:ilvl w:val="0"/>
          <w:numId w:val="1"/>
        </w:numPr>
        <w:tabs>
          <w:tab w:val="left" w:pos="709"/>
          <w:tab w:val="left" w:pos="3828"/>
        </w:tabs>
        <w:spacing w:after="0"/>
        <w:rPr>
          <w:rFonts w:ascii="Arial" w:hAnsi="Arial" w:cs="Arial"/>
          <w:lang w:val="en-GB"/>
        </w:rPr>
      </w:pPr>
      <w:r w:rsidRPr="005723CB">
        <w:rPr>
          <w:rFonts w:ascii="Arial" w:hAnsi="Arial" w:cs="Arial"/>
          <w:lang w:val="en-GB"/>
        </w:rPr>
        <w:t xml:space="preserve">First real orders: </w:t>
      </w:r>
      <w:r w:rsidRPr="005723CB">
        <w:rPr>
          <w:rFonts w:ascii="Arial" w:hAnsi="Arial" w:cs="Arial"/>
          <w:lang w:val="en-GB"/>
        </w:rPr>
        <w:tab/>
        <w:t>2011-12-20</w:t>
      </w:r>
    </w:p>
    <w:p w:rsidR="00300FC4" w:rsidRPr="005723CB" w:rsidRDefault="00300FC4" w:rsidP="00FE2FD5">
      <w:pPr>
        <w:numPr>
          <w:ilvl w:val="0"/>
          <w:numId w:val="1"/>
        </w:numPr>
        <w:tabs>
          <w:tab w:val="left" w:pos="709"/>
          <w:tab w:val="left" w:pos="3828"/>
        </w:tabs>
        <w:spacing w:after="0"/>
        <w:rPr>
          <w:rFonts w:ascii="Arial" w:hAnsi="Arial" w:cs="Arial"/>
          <w:lang w:val="en-GB"/>
        </w:rPr>
      </w:pPr>
      <w:r w:rsidRPr="005723CB">
        <w:rPr>
          <w:rFonts w:ascii="Arial" w:hAnsi="Arial" w:cs="Arial"/>
          <w:lang w:val="en-GB"/>
        </w:rPr>
        <w:t xml:space="preserve">Go-live of full operation: </w:t>
      </w:r>
      <w:r w:rsidRPr="005723CB">
        <w:rPr>
          <w:rFonts w:ascii="Arial" w:hAnsi="Arial" w:cs="Arial"/>
          <w:lang w:val="en-GB"/>
        </w:rPr>
        <w:tab/>
        <w:t>2012-02-20</w:t>
      </w:r>
    </w:p>
    <w:p w:rsidR="00300FC4" w:rsidRPr="005723CB" w:rsidRDefault="00300FC4">
      <w:pPr>
        <w:rPr>
          <w:rFonts w:ascii="Arial" w:hAnsi="Arial" w:cs="Arial"/>
          <w:lang w:val="en-GB"/>
        </w:rPr>
      </w:pPr>
    </w:p>
    <w:p w:rsidR="00300FC4" w:rsidRPr="005723CB" w:rsidRDefault="005723CB">
      <w:pPr>
        <w:rPr>
          <w:rFonts w:ascii="Arial" w:hAnsi="Arial" w:cs="Arial"/>
          <w:b/>
          <w:bCs/>
          <w:lang w:val="en-GB"/>
        </w:rPr>
      </w:pPr>
      <w:r>
        <w:rPr>
          <w:rFonts w:ascii="Arial" w:hAnsi="Arial" w:cs="Arial"/>
          <w:b/>
          <w:bCs/>
          <w:lang w:val="en-GB"/>
        </w:rPr>
        <w:br w:type="page"/>
      </w:r>
      <w:r w:rsidR="00300FC4" w:rsidRPr="005723CB">
        <w:rPr>
          <w:rFonts w:ascii="Arial" w:hAnsi="Arial" w:cs="Arial"/>
          <w:b/>
          <w:bCs/>
          <w:lang w:val="en-GB"/>
        </w:rPr>
        <w:lastRenderedPageBreak/>
        <w:t>About TGW Logistics Group:</w:t>
      </w:r>
    </w:p>
    <w:p w:rsidR="00300FC4" w:rsidRPr="005723CB" w:rsidRDefault="00300FC4">
      <w:pPr>
        <w:rPr>
          <w:rFonts w:ascii="Arial" w:hAnsi="Arial" w:cs="Arial"/>
          <w:lang w:val="en-GB"/>
        </w:rPr>
      </w:pPr>
      <w:r w:rsidRPr="005723CB">
        <w:rPr>
          <w:rFonts w:ascii="Arial" w:hAnsi="Arial" w:cs="Arial"/>
          <w:lang w:val="en-GB"/>
        </w:rPr>
        <w:t xml:space="preserve">TGW Logistics Group is an integrated solution network. Since 1969 the company has been implementing different internal logistics solutions, from small material handling applications to complex logistics centres. </w:t>
      </w:r>
    </w:p>
    <w:p w:rsidR="00300FC4" w:rsidRPr="005723CB" w:rsidRDefault="00300FC4">
      <w:pPr>
        <w:rPr>
          <w:rFonts w:ascii="Arial" w:hAnsi="Arial" w:cs="Arial"/>
          <w:lang w:val="en-GB"/>
        </w:rPr>
      </w:pPr>
      <w:r w:rsidRPr="005723CB">
        <w:rPr>
          <w:rFonts w:ascii="Arial" w:hAnsi="Arial" w:cs="Arial"/>
          <w:lang w:val="en-GB"/>
        </w:rPr>
        <w:t>The companies of TGW Logistics Group can look back on a successful development. With about 1,500 employees worldwide by now, the Group implements logistics solutions for leading companies in various industries. In the business year 2011/12, the TGW Logistics Group generated sales revenues of 362.3 million Euros.</w:t>
      </w:r>
    </w:p>
    <w:p w:rsidR="00300FC4" w:rsidRPr="005723CB" w:rsidRDefault="00300FC4">
      <w:pPr>
        <w:rPr>
          <w:rFonts w:ascii="Arial" w:hAnsi="Arial" w:cs="Arial"/>
          <w:lang w:val="en-GB"/>
        </w:rPr>
      </w:pPr>
    </w:p>
    <w:p w:rsidR="00300FC4" w:rsidRPr="005723CB" w:rsidRDefault="00300FC4">
      <w:pPr>
        <w:rPr>
          <w:rFonts w:ascii="Arial" w:hAnsi="Arial" w:cs="Arial"/>
          <w:b/>
          <w:bCs/>
          <w:lang w:val="en-GB"/>
        </w:rPr>
      </w:pPr>
      <w:r w:rsidRPr="005723CB">
        <w:rPr>
          <w:rFonts w:ascii="Arial" w:hAnsi="Arial" w:cs="Arial"/>
          <w:b/>
          <w:bCs/>
          <w:lang w:val="en-GB"/>
        </w:rPr>
        <w:t>Pictures:</w:t>
      </w:r>
    </w:p>
    <w:p w:rsidR="00023FD0" w:rsidRDefault="00300FC4">
      <w:pPr>
        <w:rPr>
          <w:rFonts w:ascii="Arial" w:hAnsi="Arial" w:cs="Arial"/>
          <w:lang w:val="en-GB"/>
        </w:rPr>
      </w:pPr>
      <w:r w:rsidRPr="005723CB">
        <w:rPr>
          <w:rFonts w:ascii="Arial" w:hAnsi="Arial" w:cs="Arial"/>
          <w:lang w:val="en-GB"/>
        </w:rPr>
        <w:t>Source: TGW Logistics Group GmbH</w:t>
      </w:r>
      <w:r w:rsidRPr="005723CB">
        <w:rPr>
          <w:rFonts w:ascii="Arial" w:hAnsi="Arial" w:cs="Arial"/>
          <w:lang w:val="en-GB"/>
        </w:rPr>
        <w:br/>
        <w:t>Reprint with reference to TGW Logistics Group GmbH free of charge. Reprint is not permitted for promotional purposes.</w:t>
      </w:r>
    </w:p>
    <w:p w:rsidR="00023FD0" w:rsidRDefault="00023FD0">
      <w:pPr>
        <w:rPr>
          <w:rFonts w:ascii="Arial" w:hAnsi="Arial" w:cs="Arial"/>
          <w:lang w:val="en-GB"/>
        </w:rPr>
      </w:pPr>
      <w:proofErr w:type="spellStart"/>
      <w:r>
        <w:rPr>
          <w:rFonts w:ascii="Arial" w:hAnsi="Arial" w:cs="Arial"/>
          <w:lang w:val="en-GB"/>
        </w:rPr>
        <w:t>Boellhoff</w:t>
      </w:r>
      <w:proofErr w:type="spellEnd"/>
      <w:r>
        <w:rPr>
          <w:rFonts w:ascii="Arial" w:hAnsi="Arial" w:cs="Arial"/>
          <w:lang w:val="en-GB"/>
        </w:rPr>
        <w:t xml:space="preserve"> (1).jpg:</w:t>
      </w:r>
      <w:r w:rsidR="0098737A">
        <w:rPr>
          <w:rFonts w:ascii="Arial" w:hAnsi="Arial" w:cs="Arial"/>
          <w:lang w:val="en-GB"/>
        </w:rPr>
        <w:t xml:space="preserve"> </w:t>
      </w:r>
      <w:r w:rsidR="00493C7A">
        <w:rPr>
          <w:rFonts w:ascii="Arial" w:hAnsi="Arial" w:cs="Arial"/>
          <w:lang w:val="en-GB"/>
        </w:rPr>
        <w:t>The TGW Controls Commander overlooks all processes within the logistics centre.</w:t>
      </w:r>
    </w:p>
    <w:p w:rsidR="00023FD0" w:rsidRDefault="00023FD0" w:rsidP="00023FD0">
      <w:pPr>
        <w:rPr>
          <w:rFonts w:ascii="Arial" w:hAnsi="Arial" w:cs="Arial"/>
          <w:lang w:val="en-GB"/>
        </w:rPr>
      </w:pPr>
      <w:proofErr w:type="spellStart"/>
      <w:r>
        <w:rPr>
          <w:rFonts w:ascii="Arial" w:hAnsi="Arial" w:cs="Arial"/>
          <w:lang w:val="en-GB"/>
        </w:rPr>
        <w:t>Boellhoff</w:t>
      </w:r>
      <w:proofErr w:type="spellEnd"/>
      <w:r>
        <w:rPr>
          <w:rFonts w:ascii="Arial" w:hAnsi="Arial" w:cs="Arial"/>
          <w:lang w:val="en-GB"/>
        </w:rPr>
        <w:t xml:space="preserve"> (2</w:t>
      </w:r>
      <w:r>
        <w:rPr>
          <w:rFonts w:ascii="Arial" w:hAnsi="Arial" w:cs="Arial"/>
          <w:lang w:val="en-GB"/>
        </w:rPr>
        <w:t>).jpg:</w:t>
      </w:r>
      <w:r>
        <w:rPr>
          <w:rFonts w:ascii="Arial" w:hAnsi="Arial" w:cs="Arial"/>
          <w:lang w:val="en-GB"/>
        </w:rPr>
        <w:t xml:space="preserve"> </w:t>
      </w:r>
      <w:r w:rsidR="00493C7A">
        <w:rPr>
          <w:rFonts w:ascii="Arial" w:hAnsi="Arial" w:cs="Arial"/>
          <w:lang w:val="en-GB"/>
        </w:rPr>
        <w:t xml:space="preserve">In the P&amp;D area the established TGW conveyor equipment has been implemented guiding the goods into the right directions. </w:t>
      </w:r>
    </w:p>
    <w:p w:rsidR="00023FD0" w:rsidRDefault="00023FD0" w:rsidP="00023FD0">
      <w:pPr>
        <w:rPr>
          <w:rFonts w:ascii="Arial" w:hAnsi="Arial" w:cs="Arial"/>
          <w:lang w:val="en-GB"/>
        </w:rPr>
      </w:pPr>
      <w:proofErr w:type="spellStart"/>
      <w:r>
        <w:rPr>
          <w:rFonts w:ascii="Arial" w:hAnsi="Arial" w:cs="Arial"/>
          <w:lang w:val="en-GB"/>
        </w:rPr>
        <w:t>Boellhoff</w:t>
      </w:r>
      <w:proofErr w:type="spellEnd"/>
      <w:r>
        <w:rPr>
          <w:rFonts w:ascii="Arial" w:hAnsi="Arial" w:cs="Arial"/>
          <w:lang w:val="en-GB"/>
        </w:rPr>
        <w:t xml:space="preserve"> (3</w:t>
      </w:r>
      <w:r>
        <w:rPr>
          <w:rFonts w:ascii="Arial" w:hAnsi="Arial" w:cs="Arial"/>
          <w:lang w:val="en-GB"/>
        </w:rPr>
        <w:t>).jpg:</w:t>
      </w:r>
      <w:r>
        <w:rPr>
          <w:rFonts w:ascii="Arial" w:hAnsi="Arial" w:cs="Arial"/>
          <w:lang w:val="en-GB"/>
        </w:rPr>
        <w:t xml:space="preserve"> </w:t>
      </w:r>
      <w:r w:rsidR="00493C7A">
        <w:rPr>
          <w:rFonts w:ascii="Arial" w:hAnsi="Arial" w:cs="Arial"/>
          <w:lang w:val="en-GB"/>
        </w:rPr>
        <w:t xml:space="preserve">In the visualisation the installation is displayed graphically – this way </w:t>
      </w:r>
      <w:proofErr w:type="spellStart"/>
      <w:r w:rsidR="00493C7A">
        <w:rPr>
          <w:rFonts w:ascii="Arial" w:hAnsi="Arial" w:cs="Arial"/>
          <w:lang w:val="en-GB"/>
        </w:rPr>
        <w:t>Boellhoff</w:t>
      </w:r>
      <w:proofErr w:type="spellEnd"/>
      <w:r w:rsidR="00493C7A">
        <w:rPr>
          <w:rFonts w:ascii="Arial" w:hAnsi="Arial" w:cs="Arial"/>
          <w:lang w:val="en-GB"/>
        </w:rPr>
        <w:t xml:space="preserve"> is able to stay on top of things.</w:t>
      </w:r>
    </w:p>
    <w:p w:rsidR="00023FD0" w:rsidRDefault="00023FD0" w:rsidP="00023FD0">
      <w:pPr>
        <w:rPr>
          <w:rFonts w:ascii="Arial" w:hAnsi="Arial" w:cs="Arial"/>
          <w:lang w:val="en-GB"/>
        </w:rPr>
      </w:pPr>
      <w:proofErr w:type="spellStart"/>
      <w:r>
        <w:rPr>
          <w:rFonts w:ascii="Arial" w:hAnsi="Arial" w:cs="Arial"/>
          <w:lang w:val="en-GB"/>
        </w:rPr>
        <w:t>Boellhoff</w:t>
      </w:r>
      <w:proofErr w:type="spellEnd"/>
      <w:r>
        <w:rPr>
          <w:rFonts w:ascii="Arial" w:hAnsi="Arial" w:cs="Arial"/>
          <w:lang w:val="en-GB"/>
        </w:rPr>
        <w:t xml:space="preserve"> (</w:t>
      </w:r>
      <w:r>
        <w:rPr>
          <w:rFonts w:ascii="Arial" w:hAnsi="Arial" w:cs="Arial"/>
          <w:lang w:val="en-GB"/>
        </w:rPr>
        <w:t>4</w:t>
      </w:r>
      <w:r>
        <w:rPr>
          <w:rFonts w:ascii="Arial" w:hAnsi="Arial" w:cs="Arial"/>
          <w:lang w:val="en-GB"/>
        </w:rPr>
        <w:t>).jpg:</w:t>
      </w:r>
      <w:r w:rsidR="00FD721C">
        <w:rPr>
          <w:rFonts w:ascii="Arial" w:hAnsi="Arial" w:cs="Arial"/>
          <w:lang w:val="en-GB"/>
        </w:rPr>
        <w:t xml:space="preserve"> The</w:t>
      </w:r>
      <w:r>
        <w:rPr>
          <w:rFonts w:ascii="Arial" w:hAnsi="Arial" w:cs="Arial"/>
          <w:lang w:val="en-GB"/>
        </w:rPr>
        <w:t xml:space="preserve"> </w:t>
      </w:r>
      <w:r w:rsidR="00FD721C" w:rsidRPr="005723CB">
        <w:rPr>
          <w:rFonts w:ascii="Arial" w:hAnsi="Arial" w:cs="Arial"/>
          <w:lang w:val="en-GB"/>
        </w:rPr>
        <w:t xml:space="preserve">Commissioner storage buffer ensures that overloading in one area does not </w:t>
      </w:r>
      <w:r w:rsidR="00FD721C">
        <w:rPr>
          <w:rFonts w:ascii="Arial" w:hAnsi="Arial" w:cs="Arial"/>
          <w:lang w:val="en-GB"/>
        </w:rPr>
        <w:t xml:space="preserve">negatively </w:t>
      </w:r>
      <w:r w:rsidR="00FD721C" w:rsidRPr="005723CB">
        <w:rPr>
          <w:rFonts w:ascii="Arial" w:hAnsi="Arial" w:cs="Arial"/>
          <w:lang w:val="en-GB"/>
        </w:rPr>
        <w:t>influence the operations in other areas</w:t>
      </w:r>
      <w:r w:rsidR="00636AF2">
        <w:rPr>
          <w:rFonts w:ascii="Arial" w:hAnsi="Arial" w:cs="Arial"/>
          <w:lang w:val="en-GB"/>
        </w:rPr>
        <w:t>.</w:t>
      </w:r>
    </w:p>
    <w:p w:rsidR="00023FD0" w:rsidRDefault="00023FD0" w:rsidP="0064686D">
      <w:pPr>
        <w:pStyle w:val="Kopfzeile"/>
        <w:tabs>
          <w:tab w:val="clear" w:pos="4536"/>
          <w:tab w:val="clear" w:pos="9072"/>
        </w:tabs>
        <w:rPr>
          <w:rFonts w:ascii="Arial" w:hAnsi="Arial" w:cs="Arial"/>
          <w:lang w:val="en-GB"/>
        </w:rPr>
      </w:pPr>
      <w:proofErr w:type="spellStart"/>
      <w:r>
        <w:rPr>
          <w:rFonts w:ascii="Arial" w:hAnsi="Arial" w:cs="Arial"/>
          <w:lang w:val="en-GB"/>
        </w:rPr>
        <w:t>Boellhoff</w:t>
      </w:r>
      <w:proofErr w:type="spellEnd"/>
      <w:r>
        <w:rPr>
          <w:rFonts w:ascii="Arial" w:hAnsi="Arial" w:cs="Arial"/>
          <w:lang w:val="en-GB"/>
        </w:rPr>
        <w:t xml:space="preserve"> (5</w:t>
      </w:r>
      <w:r>
        <w:rPr>
          <w:rFonts w:ascii="Arial" w:hAnsi="Arial" w:cs="Arial"/>
          <w:lang w:val="en-GB"/>
        </w:rPr>
        <w:t>).jpg:</w:t>
      </w:r>
      <w:r>
        <w:rPr>
          <w:rFonts w:ascii="Arial" w:hAnsi="Arial" w:cs="Arial"/>
          <w:lang w:val="en-GB"/>
        </w:rPr>
        <w:t xml:space="preserve"> </w:t>
      </w:r>
      <w:r w:rsidR="00FD721C">
        <w:rPr>
          <w:rFonts w:ascii="Arial" w:hAnsi="Arial" w:cs="Arial"/>
          <w:lang w:val="en-GB"/>
        </w:rPr>
        <w:t xml:space="preserve">With the new buffer system, the workload of the </w:t>
      </w:r>
      <w:proofErr w:type="spellStart"/>
      <w:r w:rsidR="00FD721C">
        <w:rPr>
          <w:rFonts w:ascii="Arial" w:hAnsi="Arial" w:cs="Arial"/>
          <w:lang w:val="en-GB"/>
        </w:rPr>
        <w:t>Böllhoff</w:t>
      </w:r>
      <w:proofErr w:type="spellEnd"/>
      <w:r w:rsidR="00FD721C">
        <w:rPr>
          <w:rFonts w:ascii="Arial" w:hAnsi="Arial" w:cs="Arial"/>
          <w:lang w:val="en-GB"/>
        </w:rPr>
        <w:t xml:space="preserve"> associates could be reduced significantly.</w:t>
      </w:r>
    </w:p>
    <w:p w:rsidR="00023FD0" w:rsidRDefault="00023FD0" w:rsidP="00023FD0">
      <w:pPr>
        <w:rPr>
          <w:rFonts w:ascii="Arial" w:hAnsi="Arial" w:cs="Arial"/>
          <w:lang w:val="en-GB"/>
        </w:rPr>
      </w:pPr>
      <w:proofErr w:type="spellStart"/>
      <w:r>
        <w:rPr>
          <w:rFonts w:ascii="Arial" w:hAnsi="Arial" w:cs="Arial"/>
          <w:lang w:val="en-GB"/>
        </w:rPr>
        <w:lastRenderedPageBreak/>
        <w:t>Boellhoff</w:t>
      </w:r>
      <w:proofErr w:type="spellEnd"/>
      <w:r>
        <w:rPr>
          <w:rFonts w:ascii="Arial" w:hAnsi="Arial" w:cs="Arial"/>
          <w:lang w:val="en-GB"/>
        </w:rPr>
        <w:t xml:space="preserve"> (6</w:t>
      </w:r>
      <w:r>
        <w:rPr>
          <w:rFonts w:ascii="Arial" w:hAnsi="Arial" w:cs="Arial"/>
          <w:lang w:val="en-GB"/>
        </w:rPr>
        <w:t>).jpg:</w:t>
      </w:r>
      <w:r>
        <w:rPr>
          <w:rFonts w:ascii="Arial" w:hAnsi="Arial" w:cs="Arial"/>
          <w:lang w:val="en-GB"/>
        </w:rPr>
        <w:t xml:space="preserve"> </w:t>
      </w:r>
      <w:r w:rsidR="00FD721C">
        <w:rPr>
          <w:rFonts w:ascii="Arial" w:hAnsi="Arial" w:cs="Arial"/>
          <w:lang w:val="en-GB"/>
        </w:rPr>
        <w:t xml:space="preserve">The new conveyor equipment was integrated into the existing installation and now works together with the old conveyor equipment. </w:t>
      </w:r>
    </w:p>
    <w:p w:rsidR="00023FD0" w:rsidRPr="00493C7A" w:rsidRDefault="00023FD0" w:rsidP="00023FD0">
      <w:pPr>
        <w:rPr>
          <w:rFonts w:ascii="Arial" w:hAnsi="Arial" w:cs="Arial"/>
          <w:lang w:val="en-GB"/>
        </w:rPr>
      </w:pPr>
      <w:proofErr w:type="spellStart"/>
      <w:r w:rsidRPr="00493C7A">
        <w:rPr>
          <w:rFonts w:ascii="Arial" w:hAnsi="Arial" w:cs="Arial"/>
          <w:lang w:val="en-GB"/>
        </w:rPr>
        <w:t>Boellhoff</w:t>
      </w:r>
      <w:proofErr w:type="spellEnd"/>
      <w:r w:rsidRPr="00493C7A">
        <w:rPr>
          <w:rFonts w:ascii="Arial" w:hAnsi="Arial" w:cs="Arial"/>
          <w:lang w:val="en-GB"/>
        </w:rPr>
        <w:t xml:space="preserve"> (7</w:t>
      </w:r>
      <w:r w:rsidRPr="00493C7A">
        <w:rPr>
          <w:rFonts w:ascii="Arial" w:hAnsi="Arial" w:cs="Arial"/>
          <w:lang w:val="en-GB"/>
        </w:rPr>
        <w:t>).jpg:</w:t>
      </w:r>
      <w:r w:rsidRPr="00493C7A">
        <w:rPr>
          <w:rFonts w:ascii="Arial" w:hAnsi="Arial" w:cs="Arial"/>
          <w:lang w:val="en-GB"/>
        </w:rPr>
        <w:t xml:space="preserve"> </w:t>
      </w:r>
      <w:bookmarkStart w:id="0" w:name="_GoBack"/>
      <w:r w:rsidR="00E2258D" w:rsidRPr="00493C7A">
        <w:rPr>
          <w:rFonts w:ascii="Arial" w:hAnsi="Arial" w:cs="Arial"/>
          <w:lang w:val="en-GB"/>
        </w:rPr>
        <w:t xml:space="preserve">Sebastian Rose, </w:t>
      </w:r>
      <w:r w:rsidR="00E2258D" w:rsidRPr="005723CB">
        <w:rPr>
          <w:rFonts w:ascii="Arial" w:hAnsi="Arial" w:cs="Arial"/>
          <w:lang w:val="en-GB"/>
        </w:rPr>
        <w:t xml:space="preserve">Technical Director at </w:t>
      </w:r>
      <w:proofErr w:type="spellStart"/>
      <w:r w:rsidR="00E2258D" w:rsidRPr="005723CB">
        <w:rPr>
          <w:rFonts w:ascii="Arial" w:hAnsi="Arial" w:cs="Arial"/>
          <w:lang w:val="en-GB"/>
        </w:rPr>
        <w:t>Böllhoff</w:t>
      </w:r>
      <w:proofErr w:type="spellEnd"/>
      <w:r w:rsidR="00E2258D" w:rsidRPr="00493C7A">
        <w:rPr>
          <w:rFonts w:ascii="Arial" w:hAnsi="Arial" w:cs="Arial"/>
          <w:lang w:val="en-GB"/>
        </w:rPr>
        <w:t xml:space="preserve"> a</w:t>
      </w:r>
      <w:r w:rsidR="00E2258D" w:rsidRPr="00493C7A">
        <w:rPr>
          <w:rFonts w:ascii="Arial" w:hAnsi="Arial" w:cs="Arial"/>
          <w:lang w:val="en-GB"/>
        </w:rPr>
        <w:t xml:space="preserve">nd Hayrettin </w:t>
      </w:r>
      <w:proofErr w:type="spellStart"/>
      <w:r w:rsidR="00E2258D" w:rsidRPr="00493C7A">
        <w:rPr>
          <w:rFonts w:ascii="Arial" w:hAnsi="Arial" w:cs="Arial"/>
          <w:lang w:val="en-GB"/>
        </w:rPr>
        <w:t>Sariz</w:t>
      </w:r>
      <w:proofErr w:type="spellEnd"/>
      <w:r w:rsidR="00E2258D" w:rsidRPr="00493C7A">
        <w:rPr>
          <w:rFonts w:ascii="Arial" w:hAnsi="Arial" w:cs="Arial"/>
          <w:lang w:val="en-GB"/>
        </w:rPr>
        <w:t xml:space="preserve">, </w:t>
      </w:r>
      <w:r w:rsidR="00E2258D">
        <w:rPr>
          <w:rFonts w:ascii="Arial" w:hAnsi="Arial" w:cs="Arial"/>
          <w:lang w:val="en-GB"/>
        </w:rPr>
        <w:t>D</w:t>
      </w:r>
      <w:r w:rsidR="00E2258D" w:rsidRPr="005723CB">
        <w:rPr>
          <w:rFonts w:ascii="Arial" w:hAnsi="Arial" w:cs="Arial"/>
          <w:lang w:val="en-GB"/>
        </w:rPr>
        <w:t xml:space="preserve">irector of </w:t>
      </w:r>
      <w:proofErr w:type="spellStart"/>
      <w:r w:rsidR="00E2258D" w:rsidRPr="005723CB">
        <w:rPr>
          <w:rFonts w:ascii="Arial" w:hAnsi="Arial" w:cs="Arial"/>
          <w:lang w:val="en-GB"/>
        </w:rPr>
        <w:t>Böllhoff's</w:t>
      </w:r>
      <w:proofErr w:type="spellEnd"/>
      <w:r w:rsidR="00E2258D" w:rsidRPr="005723CB">
        <w:rPr>
          <w:rFonts w:ascii="Arial" w:hAnsi="Arial" w:cs="Arial"/>
          <w:lang w:val="en-GB"/>
        </w:rPr>
        <w:t xml:space="preserve"> Logistics Centre North</w:t>
      </w:r>
      <w:r w:rsidR="00E2258D" w:rsidRPr="00493C7A">
        <w:rPr>
          <w:rFonts w:ascii="Arial" w:hAnsi="Arial" w:cs="Arial"/>
          <w:lang w:val="en-GB"/>
        </w:rPr>
        <w:t>.</w:t>
      </w:r>
    </w:p>
    <w:bookmarkEnd w:id="0"/>
    <w:p w:rsidR="00023FD0" w:rsidRPr="00493C7A" w:rsidRDefault="00023FD0">
      <w:pPr>
        <w:rPr>
          <w:rFonts w:ascii="Arial" w:hAnsi="Arial" w:cs="Arial"/>
          <w:lang w:val="en-GB"/>
        </w:rPr>
      </w:pPr>
    </w:p>
    <w:tbl>
      <w:tblPr>
        <w:tblW w:w="0" w:type="auto"/>
        <w:tblInd w:w="-68" w:type="dxa"/>
        <w:tblCellMar>
          <w:left w:w="70" w:type="dxa"/>
          <w:right w:w="70" w:type="dxa"/>
        </w:tblCellMar>
        <w:tblLook w:val="0000" w:firstRow="0" w:lastRow="0" w:firstColumn="0" w:lastColumn="0" w:noHBand="0" w:noVBand="0"/>
      </w:tblPr>
      <w:tblGrid>
        <w:gridCol w:w="3896"/>
        <w:gridCol w:w="3897"/>
      </w:tblGrid>
      <w:tr w:rsidR="00300FC4" w:rsidRPr="00023FD0">
        <w:tc>
          <w:tcPr>
            <w:tcW w:w="3896" w:type="dxa"/>
          </w:tcPr>
          <w:p w:rsidR="00300FC4" w:rsidRPr="005723CB" w:rsidRDefault="00300FC4">
            <w:pPr>
              <w:spacing w:before="0" w:after="0" w:line="240" w:lineRule="auto"/>
              <w:rPr>
                <w:rFonts w:ascii="Arial" w:hAnsi="Arial" w:cs="Arial"/>
                <w:b/>
                <w:bCs/>
                <w:lang w:val="en-GB"/>
              </w:rPr>
            </w:pPr>
            <w:r w:rsidRPr="005723CB">
              <w:rPr>
                <w:rFonts w:ascii="Arial" w:hAnsi="Arial" w:cs="Arial"/>
                <w:b/>
                <w:bCs/>
                <w:lang w:val="en-GB"/>
              </w:rPr>
              <w:t>Contact:</w:t>
            </w:r>
          </w:p>
          <w:p w:rsidR="00300FC4" w:rsidRPr="005723CB" w:rsidRDefault="00300FC4">
            <w:pPr>
              <w:spacing w:before="0" w:after="0" w:line="240" w:lineRule="auto"/>
              <w:rPr>
                <w:rFonts w:ascii="Arial" w:hAnsi="Arial" w:cs="Arial"/>
                <w:lang w:val="en-GB"/>
              </w:rPr>
            </w:pPr>
          </w:p>
          <w:p w:rsidR="00300FC4" w:rsidRPr="005723CB" w:rsidRDefault="00300FC4">
            <w:pPr>
              <w:spacing w:before="0" w:after="0" w:line="240" w:lineRule="auto"/>
              <w:rPr>
                <w:rFonts w:ascii="Arial" w:hAnsi="Arial" w:cs="Arial"/>
                <w:lang w:val="en-GB"/>
              </w:rPr>
            </w:pPr>
            <w:r w:rsidRPr="005723CB">
              <w:rPr>
                <w:rFonts w:ascii="Arial" w:hAnsi="Arial" w:cs="Arial"/>
                <w:lang w:val="en-GB"/>
              </w:rPr>
              <w:t>TGW Logistics Group GmbH</w:t>
            </w:r>
          </w:p>
          <w:p w:rsidR="00300FC4" w:rsidRPr="005723CB" w:rsidRDefault="00300FC4">
            <w:pPr>
              <w:spacing w:before="0" w:after="0" w:line="240" w:lineRule="auto"/>
              <w:rPr>
                <w:rFonts w:ascii="Arial" w:hAnsi="Arial" w:cs="Arial"/>
                <w:lang w:val="en-GB"/>
              </w:rPr>
            </w:pPr>
            <w:r w:rsidRPr="005723CB">
              <w:rPr>
                <w:rFonts w:ascii="Arial" w:hAnsi="Arial" w:cs="Arial"/>
                <w:lang w:val="en-GB"/>
              </w:rPr>
              <w:t xml:space="preserve">4600 Wels, </w:t>
            </w:r>
            <w:proofErr w:type="spellStart"/>
            <w:r w:rsidRPr="005723CB">
              <w:rPr>
                <w:rFonts w:ascii="Arial" w:hAnsi="Arial" w:cs="Arial"/>
                <w:lang w:val="en-GB"/>
              </w:rPr>
              <w:t>Collmannstraße</w:t>
            </w:r>
            <w:proofErr w:type="spellEnd"/>
            <w:r w:rsidRPr="005723CB">
              <w:rPr>
                <w:rFonts w:ascii="Arial" w:hAnsi="Arial" w:cs="Arial"/>
                <w:lang w:val="en-GB"/>
              </w:rPr>
              <w:t xml:space="preserve"> 2, Austria</w:t>
            </w:r>
          </w:p>
          <w:p w:rsidR="00300FC4" w:rsidRPr="001742FB" w:rsidRDefault="00300FC4">
            <w:pPr>
              <w:spacing w:before="0" w:after="0" w:line="240" w:lineRule="auto"/>
              <w:rPr>
                <w:rFonts w:ascii="Arial" w:hAnsi="Arial" w:cs="Arial"/>
                <w:lang w:val="fr-FR"/>
              </w:rPr>
            </w:pPr>
            <w:r w:rsidRPr="001742FB">
              <w:rPr>
                <w:rFonts w:ascii="Arial" w:hAnsi="Arial" w:cs="Arial"/>
                <w:lang w:val="fr-FR"/>
              </w:rPr>
              <w:t>T: +43.(0)7242.486-0</w:t>
            </w:r>
          </w:p>
          <w:p w:rsidR="00300FC4" w:rsidRPr="001742FB" w:rsidRDefault="00300FC4">
            <w:pPr>
              <w:spacing w:before="0" w:after="0" w:line="240" w:lineRule="auto"/>
              <w:rPr>
                <w:rFonts w:ascii="Arial" w:hAnsi="Arial" w:cs="Arial"/>
                <w:lang w:val="fr-FR"/>
              </w:rPr>
            </w:pPr>
            <w:r w:rsidRPr="001742FB">
              <w:rPr>
                <w:rFonts w:ascii="Arial" w:hAnsi="Arial" w:cs="Arial"/>
                <w:lang w:val="fr-FR"/>
              </w:rPr>
              <w:t>F: +43.(0)7242.486-31</w:t>
            </w:r>
          </w:p>
          <w:p w:rsidR="00300FC4" w:rsidRPr="001742FB" w:rsidRDefault="00300FC4">
            <w:pPr>
              <w:spacing w:before="0" w:after="0" w:line="240" w:lineRule="auto"/>
              <w:rPr>
                <w:rFonts w:ascii="Arial" w:hAnsi="Arial" w:cs="Arial"/>
                <w:b/>
                <w:bCs/>
                <w:lang w:val="fr-FR"/>
              </w:rPr>
            </w:pPr>
            <w:r w:rsidRPr="001742FB">
              <w:rPr>
                <w:rFonts w:ascii="Arial" w:hAnsi="Arial" w:cs="Arial"/>
                <w:lang w:val="fr-FR"/>
              </w:rPr>
              <w:t>e-mail: tgw@tgw-group.com</w:t>
            </w:r>
          </w:p>
        </w:tc>
        <w:tc>
          <w:tcPr>
            <w:tcW w:w="3897" w:type="dxa"/>
          </w:tcPr>
          <w:p w:rsidR="00300FC4" w:rsidRPr="005723CB" w:rsidRDefault="00300FC4">
            <w:pPr>
              <w:spacing w:before="0" w:after="0" w:line="240" w:lineRule="auto"/>
              <w:rPr>
                <w:rFonts w:ascii="Arial" w:hAnsi="Arial" w:cs="Arial"/>
                <w:b/>
                <w:bCs/>
                <w:lang w:val="en-GB"/>
              </w:rPr>
            </w:pPr>
            <w:r w:rsidRPr="005723CB">
              <w:rPr>
                <w:rFonts w:ascii="Arial" w:hAnsi="Arial" w:cs="Arial"/>
                <w:b/>
                <w:bCs/>
                <w:lang w:val="en-GB"/>
              </w:rPr>
              <w:t>Press contact:</w:t>
            </w:r>
          </w:p>
          <w:p w:rsidR="00300FC4" w:rsidRPr="005723CB" w:rsidRDefault="00300FC4">
            <w:pPr>
              <w:spacing w:before="0" w:after="0" w:line="240" w:lineRule="auto"/>
              <w:rPr>
                <w:rFonts w:ascii="Arial" w:hAnsi="Arial" w:cs="Arial"/>
                <w:lang w:val="en-GB"/>
              </w:rPr>
            </w:pPr>
          </w:p>
          <w:p w:rsidR="00300FC4" w:rsidRPr="005723CB" w:rsidRDefault="00300FC4">
            <w:pPr>
              <w:spacing w:before="0" w:after="0" w:line="240" w:lineRule="auto"/>
              <w:rPr>
                <w:rFonts w:ascii="Arial" w:hAnsi="Arial" w:cs="Arial"/>
                <w:lang w:val="en-GB"/>
              </w:rPr>
            </w:pPr>
            <w:r w:rsidRPr="005723CB">
              <w:rPr>
                <w:rFonts w:ascii="Arial" w:hAnsi="Arial" w:cs="Arial"/>
                <w:lang w:val="en-GB"/>
              </w:rPr>
              <w:t xml:space="preserve">Michael Etlinger </w:t>
            </w:r>
          </w:p>
          <w:p w:rsidR="00300FC4" w:rsidRPr="005723CB" w:rsidRDefault="00300FC4">
            <w:pPr>
              <w:spacing w:before="0" w:after="0" w:line="240" w:lineRule="auto"/>
              <w:rPr>
                <w:rFonts w:ascii="Arial" w:hAnsi="Arial" w:cs="Arial"/>
                <w:lang w:val="en-GB"/>
              </w:rPr>
            </w:pPr>
          </w:p>
          <w:p w:rsidR="00300FC4" w:rsidRPr="005723CB" w:rsidRDefault="00300FC4">
            <w:pPr>
              <w:spacing w:before="0" w:after="0" w:line="240" w:lineRule="auto"/>
              <w:rPr>
                <w:rFonts w:ascii="Arial" w:hAnsi="Arial" w:cs="Arial"/>
                <w:lang w:val="en-GB"/>
              </w:rPr>
            </w:pPr>
            <w:r w:rsidRPr="005723CB">
              <w:rPr>
                <w:rFonts w:ascii="Arial" w:hAnsi="Arial" w:cs="Arial"/>
                <w:lang w:val="en-GB"/>
              </w:rPr>
              <w:t>T: +43.(0)7242.486-1382</w:t>
            </w:r>
          </w:p>
          <w:p w:rsidR="00300FC4" w:rsidRPr="005723CB" w:rsidRDefault="00300FC4">
            <w:pPr>
              <w:spacing w:before="0" w:after="0" w:line="240" w:lineRule="auto"/>
              <w:rPr>
                <w:rFonts w:ascii="Arial" w:hAnsi="Arial" w:cs="Arial"/>
                <w:lang w:val="en-GB"/>
              </w:rPr>
            </w:pPr>
            <w:r w:rsidRPr="005723CB">
              <w:rPr>
                <w:rFonts w:ascii="Arial" w:hAnsi="Arial" w:cs="Arial"/>
                <w:lang w:val="en-GB"/>
              </w:rPr>
              <w:t>M: +43.(0)664.8187423</w:t>
            </w:r>
          </w:p>
          <w:p w:rsidR="00300FC4" w:rsidRPr="005723CB" w:rsidRDefault="00300FC4">
            <w:pPr>
              <w:spacing w:before="0" w:after="0" w:line="240" w:lineRule="auto"/>
              <w:rPr>
                <w:rFonts w:ascii="Arial" w:hAnsi="Arial" w:cs="Arial"/>
                <w:b/>
                <w:bCs/>
                <w:lang w:val="en-GB"/>
              </w:rPr>
            </w:pPr>
            <w:r w:rsidRPr="005723CB">
              <w:rPr>
                <w:rFonts w:ascii="Arial" w:hAnsi="Arial" w:cs="Arial"/>
                <w:lang w:val="en-GB"/>
              </w:rPr>
              <w:t>michael.etlinger@tgw-group.com</w:t>
            </w:r>
          </w:p>
        </w:tc>
      </w:tr>
    </w:tbl>
    <w:p w:rsidR="00300FC4" w:rsidRPr="005723CB" w:rsidRDefault="00300FC4">
      <w:pPr>
        <w:pStyle w:val="Kopfzeile"/>
        <w:tabs>
          <w:tab w:val="clear" w:pos="4536"/>
          <w:tab w:val="clear" w:pos="9072"/>
        </w:tabs>
        <w:rPr>
          <w:rFonts w:ascii="Arial" w:hAnsi="Arial" w:cs="Arial"/>
          <w:lang w:val="en-GB"/>
        </w:rPr>
      </w:pPr>
    </w:p>
    <w:sectPr w:rsidR="00300FC4" w:rsidRPr="005723CB" w:rsidSect="00D039A0">
      <w:headerReference w:type="default" r:id="rId8"/>
      <w:footerReference w:type="default" r:id="rId9"/>
      <w:pgSz w:w="11906" w:h="16838"/>
      <w:pgMar w:top="3402" w:right="2835" w:bottom="1134"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511" w:rsidRDefault="00F27511">
      <w:pPr>
        <w:spacing w:before="0" w:after="0" w:line="240" w:lineRule="auto"/>
      </w:pPr>
      <w:r>
        <w:separator/>
      </w:r>
    </w:p>
  </w:endnote>
  <w:endnote w:type="continuationSeparator" w:id="0">
    <w:p w:rsidR="00F27511" w:rsidRDefault="00F2751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eue LT 55 Roman">
    <w:panose1 w:val="020B0604020202020204"/>
    <w:charset w:val="00"/>
    <w:family w:val="swiss"/>
    <w:pitch w:val="variable"/>
    <w:sig w:usb0="8000002F" w:usb1="40000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DigitalSans_Light_Med">
    <w:panose1 w:val="00000300000000000000"/>
    <w:charset w:val="00"/>
    <w:family w:val="auto"/>
    <w:pitch w:val="variable"/>
    <w:sig w:usb0="00000003" w:usb1="00000000" w:usb2="00000000" w:usb3="00000000" w:csb0="00000001" w:csb1="00000000"/>
  </w:font>
  <w:font w:name="DigitalSans_Bold">
    <w:panose1 w:val="000007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30" w:type="dxa"/>
      <w:tblInd w:w="2" w:type="dxa"/>
      <w:tblCellMar>
        <w:left w:w="70" w:type="dxa"/>
        <w:right w:w="70" w:type="dxa"/>
      </w:tblCellMar>
      <w:tblLook w:val="0000" w:firstRow="0" w:lastRow="0" w:firstColumn="0" w:lastColumn="0" w:noHBand="0" w:noVBand="0"/>
    </w:tblPr>
    <w:tblGrid>
      <w:gridCol w:w="3143"/>
      <w:gridCol w:w="3143"/>
      <w:gridCol w:w="3144"/>
    </w:tblGrid>
    <w:tr w:rsidR="00841765">
      <w:tc>
        <w:tcPr>
          <w:tcW w:w="3143" w:type="dxa"/>
          <w:tcMar>
            <w:right w:w="170" w:type="dxa"/>
          </w:tcMar>
        </w:tcPr>
        <w:p w:rsidR="00841765" w:rsidRDefault="00762E7D">
          <w:pPr>
            <w:pStyle w:val="Fuzeile"/>
            <w:rPr>
              <w:rFonts w:ascii="Arial" w:hAnsi="Arial" w:cs="Arial"/>
            </w:rPr>
          </w:pPr>
          <w:fldSimple w:instr=" FILENAME  \* MERGEFORMAT ">
            <w:r w:rsidR="00841765">
              <w:rPr>
                <w:rFonts w:ascii="Arial" w:hAnsi="Arial" w:cs="Arial"/>
                <w:noProof/>
              </w:rPr>
              <w:t>Bllhoff - Anlagenreportage_V1.docx</w:t>
            </w:r>
          </w:fldSimple>
        </w:p>
      </w:tc>
      <w:tc>
        <w:tcPr>
          <w:tcW w:w="3143" w:type="dxa"/>
        </w:tcPr>
        <w:p w:rsidR="00841765" w:rsidRDefault="00841765">
          <w:pPr>
            <w:pStyle w:val="Fuzeile"/>
            <w:jc w:val="center"/>
            <w:rPr>
              <w:rFonts w:ascii="Arial" w:hAnsi="Arial" w:cs="Arial"/>
              <w:lang w:val="en-GB"/>
            </w:rPr>
          </w:pPr>
          <w:r w:rsidRPr="001742FB">
            <w:rPr>
              <w:rFonts w:ascii="Arial" w:hAnsi="Arial" w:cs="Arial"/>
              <w:lang w:val="en-GB"/>
            </w:rPr>
            <w:t>TGW Logistics Group GmbH</w:t>
          </w:r>
        </w:p>
        <w:p w:rsidR="00841765" w:rsidRDefault="00841765">
          <w:pPr>
            <w:pStyle w:val="Fuzeile"/>
            <w:jc w:val="center"/>
            <w:rPr>
              <w:rFonts w:ascii="Arial" w:hAnsi="Arial" w:cs="Arial"/>
              <w:lang w:val="en-GB"/>
            </w:rPr>
          </w:pPr>
          <w:r w:rsidRPr="001742FB">
            <w:rPr>
              <w:rStyle w:val="Seitenzahl"/>
              <w:rFonts w:ascii="Arial" w:hAnsi="Arial" w:cs="Arial"/>
              <w:lang w:val="en-GB"/>
            </w:rPr>
            <w:t xml:space="preserve">4600 Wels, </w:t>
          </w:r>
          <w:proofErr w:type="spellStart"/>
          <w:r w:rsidRPr="001742FB">
            <w:rPr>
              <w:rStyle w:val="Seitenzahl"/>
              <w:rFonts w:ascii="Arial" w:hAnsi="Arial" w:cs="Arial"/>
              <w:lang w:val="en-GB"/>
            </w:rPr>
            <w:t>Collmannstraße</w:t>
          </w:r>
          <w:proofErr w:type="spellEnd"/>
          <w:r w:rsidRPr="001742FB">
            <w:rPr>
              <w:rStyle w:val="Seitenzahl"/>
              <w:rFonts w:ascii="Arial" w:hAnsi="Arial" w:cs="Arial"/>
              <w:lang w:val="en-GB"/>
            </w:rPr>
            <w:t xml:space="preserve"> 2, Austria</w:t>
          </w:r>
        </w:p>
      </w:tc>
      <w:tc>
        <w:tcPr>
          <w:tcW w:w="3144" w:type="dxa"/>
        </w:tcPr>
        <w:p w:rsidR="00841765" w:rsidRDefault="00841765">
          <w:pPr>
            <w:pStyle w:val="Fuzeile"/>
            <w:jc w:val="right"/>
            <w:rPr>
              <w:rStyle w:val="Seitenzahl"/>
              <w:rFonts w:ascii="Arial" w:hAnsi="Arial" w:cs="Arial"/>
            </w:rPr>
          </w:pPr>
          <w:proofErr w:type="spellStart"/>
          <w:r>
            <w:rPr>
              <w:rFonts w:ascii="Arial" w:hAnsi="Arial" w:cs="Arial"/>
            </w:rPr>
            <w:t>page</w:t>
          </w:r>
          <w:proofErr w:type="spellEnd"/>
          <w:r>
            <w:rPr>
              <w:rFonts w:ascii="Arial" w:hAnsi="Arial" w:cs="Arial"/>
            </w:rPr>
            <w:t xml:space="preserve"> </w:t>
          </w:r>
          <w:r>
            <w:fldChar w:fldCharType="begin"/>
          </w:r>
          <w:r>
            <w:instrText xml:space="preserve"> PAGE </w:instrText>
          </w:r>
          <w:r>
            <w:fldChar w:fldCharType="separate"/>
          </w:r>
          <w:r w:rsidR="00636AF2">
            <w:rPr>
              <w:noProof/>
            </w:rPr>
            <w:t>7</w:t>
          </w:r>
          <w:r>
            <w:fldChar w:fldCharType="end"/>
          </w:r>
          <w:r>
            <w:rPr>
              <w:rFonts w:ascii="Arial" w:hAnsi="Arial" w:cs="Arial"/>
            </w:rPr>
            <w:t xml:space="preserve"> / </w:t>
          </w:r>
          <w:fldSimple w:instr=" NUMPAGES ">
            <w:r w:rsidR="00636AF2">
              <w:rPr>
                <w:noProof/>
              </w:rPr>
              <w:t>7</w:t>
            </w:r>
          </w:fldSimple>
        </w:p>
      </w:tc>
    </w:tr>
  </w:tbl>
  <w:p w:rsidR="00841765" w:rsidRDefault="00841765">
    <w:pPr>
      <w:pStyle w:val="Fuzeile"/>
      <w:rPr>
        <w:rFonts w:ascii="Arial" w:hAnsi="Arial" w:cs="Arial"/>
        <w:sz w:val="2"/>
        <w:szCs w:val="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511" w:rsidRDefault="00F27511">
      <w:pPr>
        <w:spacing w:before="0" w:after="0" w:line="240" w:lineRule="auto"/>
      </w:pPr>
      <w:r>
        <w:separator/>
      </w:r>
    </w:p>
  </w:footnote>
  <w:footnote w:type="continuationSeparator" w:id="0">
    <w:p w:rsidR="00F27511" w:rsidRDefault="00F27511">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65" w:rsidRDefault="00E30884">
    <w:pPr>
      <w:pStyle w:val="Kopfzeile"/>
      <w:tabs>
        <w:tab w:val="clear" w:pos="4536"/>
        <w:tab w:val="clear" w:pos="9072"/>
        <w:tab w:val="right" w:pos="9360"/>
      </w:tabs>
      <w:ind w:left="-540" w:right="-1707"/>
      <w:rPr>
        <w:rFonts w:ascii="DigitalSans_Light_Med" w:hAnsi="DigitalSans_Light_Med" w:cs="DigitalSans_Light_Med"/>
        <w:b/>
        <w:bCs/>
        <w:spacing w:val="80"/>
        <w:sz w:val="24"/>
        <w:szCs w:val="24"/>
        <w:lang w:val="en-GB"/>
      </w:rPr>
    </w:pPr>
    <w:r>
      <w:rPr>
        <w:noProof/>
      </w:rPr>
      <w:drawing>
        <wp:anchor distT="0" distB="0" distL="114300" distR="114300" simplePos="0" relativeHeight="251657728" behindDoc="1" locked="0" layoutInCell="1" allowOverlap="1">
          <wp:simplePos x="0" y="0"/>
          <wp:positionH relativeFrom="column">
            <wp:posOffset>-900430</wp:posOffset>
          </wp:positionH>
          <wp:positionV relativeFrom="paragraph">
            <wp:posOffset>749300</wp:posOffset>
          </wp:positionV>
          <wp:extent cx="6870700" cy="509905"/>
          <wp:effectExtent l="0" t="0" r="6350" b="4445"/>
          <wp:wrapTight wrapText="bothSides">
            <wp:wrapPolygon edited="0">
              <wp:start x="0" y="0"/>
              <wp:lineTo x="0" y="20981"/>
              <wp:lineTo x="21560" y="20981"/>
              <wp:lineTo x="2156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0" cy="509905"/>
                  </a:xfrm>
                  <a:prstGeom prst="rect">
                    <a:avLst/>
                  </a:prstGeom>
                  <a:noFill/>
                </pic:spPr>
              </pic:pic>
            </a:graphicData>
          </a:graphic>
          <wp14:sizeRelH relativeFrom="page">
            <wp14:pctWidth>0</wp14:pctWidth>
          </wp14:sizeRelH>
          <wp14:sizeRelV relativeFrom="page">
            <wp14:pctHeight>0</wp14:pctHeight>
          </wp14:sizeRelV>
        </wp:anchor>
      </w:drawing>
    </w:r>
    <w:r w:rsidR="00E83AC0" w:rsidRPr="001742FB">
      <w:rPr>
        <w:rFonts w:ascii="DigitalSans_Light_Med" w:hAnsi="DigitalSans_Light_Med" w:cs="DigitalSans_Light_Med"/>
        <w:b/>
        <w:bCs/>
        <w:spacing w:val="80"/>
        <w:sz w:val="24"/>
        <w:szCs w:val="24"/>
        <w:lang w:val="en-GB"/>
      </w:rPr>
      <w:br/>
    </w:r>
    <w:r w:rsidR="00E83AC0" w:rsidRPr="001742FB">
      <w:rPr>
        <w:rFonts w:ascii="DigitalSans_Bold" w:hAnsi="DigitalSans_Bold" w:cs="DigitalSans_Bold"/>
        <w:b/>
        <w:bCs/>
        <w:spacing w:val="80"/>
        <w:sz w:val="24"/>
        <w:szCs w:val="24"/>
        <w:lang w:val="en-GB"/>
      </w:rPr>
      <w:t>TGW</w:t>
    </w:r>
    <w:r w:rsidR="00E83AC0" w:rsidRPr="001742FB">
      <w:rPr>
        <w:rFonts w:ascii="DigitalSans_Light_Med" w:hAnsi="DigitalSans_Light_Med" w:cs="DigitalSans_Light_Med"/>
        <w:b/>
        <w:bCs/>
        <w:spacing w:val="80"/>
        <w:sz w:val="24"/>
        <w:szCs w:val="24"/>
        <w:lang w:val="en-GB"/>
      </w:rPr>
      <w:t xml:space="preserve"> LOGISTICS GROUP GMBH</w:t>
    </w:r>
    <w:r w:rsidR="00E83AC0" w:rsidRPr="001742FB">
      <w:rPr>
        <w:rFonts w:ascii="DigitalSans_Light_Med" w:hAnsi="DigitalSans_Light_Med" w:cs="DigitalSans_Light_Med"/>
        <w:b/>
        <w:bCs/>
        <w:spacing w:val="80"/>
        <w:sz w:val="24"/>
        <w:szCs w:val="24"/>
        <w:lang w:val="en-GB"/>
      </w:rPr>
      <w:tab/>
    </w:r>
    <w:r w:rsidR="00E83AC0" w:rsidRPr="001742FB">
      <w:rPr>
        <w:rFonts w:ascii="DigitalSans_Bold" w:hAnsi="DigitalSans_Bold" w:cs="DigitalSans_Bold"/>
        <w:b/>
        <w:bCs/>
        <w:spacing w:val="80"/>
        <w:sz w:val="24"/>
        <w:szCs w:val="24"/>
        <w:lang w:val="en-GB"/>
      </w:rPr>
      <w:t>PRESS RELEASE</w:t>
    </w:r>
  </w:p>
  <w:p w:rsidR="00841765" w:rsidRDefault="00841765">
    <w:pPr>
      <w:pStyle w:val="Kopfzeile"/>
      <w:rPr>
        <w:rFonts w:ascii="Arial" w:hAnsi="Arial" w:cs="Arial"/>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126C0"/>
    <w:multiLevelType w:val="hybridMultilevel"/>
    <w:tmpl w:val="F5207CAE"/>
    <w:lvl w:ilvl="0" w:tplc="5C6AA92E">
      <w:numFmt w:val="bullet"/>
      <w:lvlText w:val="-"/>
      <w:lvlJc w:val="left"/>
      <w:pPr>
        <w:ind w:left="720" w:hanging="360"/>
      </w:pPr>
      <w:rPr>
        <w:rFonts w:ascii="Arial" w:eastAsia="Times New Roman" w:hAnsi="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425"/>
  <w:doNotHyphenateCaps/>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5A8"/>
    <w:rsid w:val="0000257F"/>
    <w:rsid w:val="00023FD0"/>
    <w:rsid w:val="0002430C"/>
    <w:rsid w:val="00053985"/>
    <w:rsid w:val="000902AA"/>
    <w:rsid w:val="000A5E36"/>
    <w:rsid w:val="000A6885"/>
    <w:rsid w:val="000B3531"/>
    <w:rsid w:val="000D2E29"/>
    <w:rsid w:val="000E0DC4"/>
    <w:rsid w:val="000F2DE8"/>
    <w:rsid w:val="001742FB"/>
    <w:rsid w:val="001848C7"/>
    <w:rsid w:val="00191EB9"/>
    <w:rsid w:val="001E08E9"/>
    <w:rsid w:val="00215A9D"/>
    <w:rsid w:val="00225470"/>
    <w:rsid w:val="00300FC4"/>
    <w:rsid w:val="003B2CD3"/>
    <w:rsid w:val="003B701C"/>
    <w:rsid w:val="00402035"/>
    <w:rsid w:val="004561EE"/>
    <w:rsid w:val="004565A8"/>
    <w:rsid w:val="00462BDA"/>
    <w:rsid w:val="00493C7A"/>
    <w:rsid w:val="004E448C"/>
    <w:rsid w:val="00513366"/>
    <w:rsid w:val="00527985"/>
    <w:rsid w:val="00540209"/>
    <w:rsid w:val="00541CB1"/>
    <w:rsid w:val="005723CB"/>
    <w:rsid w:val="005E712E"/>
    <w:rsid w:val="005F3278"/>
    <w:rsid w:val="006213E2"/>
    <w:rsid w:val="00636AF2"/>
    <w:rsid w:val="0064686D"/>
    <w:rsid w:val="0066697A"/>
    <w:rsid w:val="00682151"/>
    <w:rsid w:val="006A16FB"/>
    <w:rsid w:val="00725693"/>
    <w:rsid w:val="00762E7D"/>
    <w:rsid w:val="007764E4"/>
    <w:rsid w:val="007A283E"/>
    <w:rsid w:val="007B502F"/>
    <w:rsid w:val="007F35F6"/>
    <w:rsid w:val="008267F5"/>
    <w:rsid w:val="0083189E"/>
    <w:rsid w:val="00841765"/>
    <w:rsid w:val="00851E79"/>
    <w:rsid w:val="00883A45"/>
    <w:rsid w:val="008E161A"/>
    <w:rsid w:val="0098737A"/>
    <w:rsid w:val="0099484B"/>
    <w:rsid w:val="0099783E"/>
    <w:rsid w:val="009D6B30"/>
    <w:rsid w:val="00A93BB2"/>
    <w:rsid w:val="00A95E20"/>
    <w:rsid w:val="00B008DE"/>
    <w:rsid w:val="00B133B7"/>
    <w:rsid w:val="00B26824"/>
    <w:rsid w:val="00B4359A"/>
    <w:rsid w:val="00B63645"/>
    <w:rsid w:val="00B66663"/>
    <w:rsid w:val="00B814A6"/>
    <w:rsid w:val="00BB4A52"/>
    <w:rsid w:val="00BD35E0"/>
    <w:rsid w:val="00BE7677"/>
    <w:rsid w:val="00C446AC"/>
    <w:rsid w:val="00C54168"/>
    <w:rsid w:val="00C64F6B"/>
    <w:rsid w:val="00CA4FBC"/>
    <w:rsid w:val="00CF1527"/>
    <w:rsid w:val="00D00890"/>
    <w:rsid w:val="00D039A0"/>
    <w:rsid w:val="00D51311"/>
    <w:rsid w:val="00D61567"/>
    <w:rsid w:val="00D70006"/>
    <w:rsid w:val="00D83801"/>
    <w:rsid w:val="00DA0D12"/>
    <w:rsid w:val="00DB2939"/>
    <w:rsid w:val="00DD69AE"/>
    <w:rsid w:val="00DE2A32"/>
    <w:rsid w:val="00DF6518"/>
    <w:rsid w:val="00E2258D"/>
    <w:rsid w:val="00E30884"/>
    <w:rsid w:val="00E60DD6"/>
    <w:rsid w:val="00E64FEA"/>
    <w:rsid w:val="00E75DDE"/>
    <w:rsid w:val="00E83AC0"/>
    <w:rsid w:val="00EB3868"/>
    <w:rsid w:val="00EE0F28"/>
    <w:rsid w:val="00F02F8C"/>
    <w:rsid w:val="00F27511"/>
    <w:rsid w:val="00F535FB"/>
    <w:rsid w:val="00F60353"/>
    <w:rsid w:val="00F66A70"/>
    <w:rsid w:val="00F92064"/>
    <w:rsid w:val="00FC2E5F"/>
    <w:rsid w:val="00FD0FAE"/>
    <w:rsid w:val="00FD721C"/>
    <w:rsid w:val="00FE2FD5"/>
    <w:rsid w:val="00FE6325"/>
    <w:rsid w:val="00FF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39A0"/>
    <w:pPr>
      <w:spacing w:before="120" w:after="240" w:line="360" w:lineRule="auto"/>
    </w:pPr>
    <w:rPr>
      <w:rFonts w:ascii="HelveticaNeue LT 55 Roman" w:hAnsi="HelveticaNeue LT 55 Roman" w:cs="HelveticaNeue LT 55 Roman"/>
      <w:sz w:val="22"/>
      <w:szCs w:val="22"/>
    </w:rPr>
  </w:style>
  <w:style w:type="paragraph" w:styleId="berschrift1">
    <w:name w:val="heading 1"/>
    <w:basedOn w:val="Standard"/>
    <w:next w:val="Standard"/>
    <w:link w:val="berschrift1Zchn"/>
    <w:uiPriority w:val="99"/>
    <w:qFormat/>
    <w:rsid w:val="00513366"/>
    <w:pPr>
      <w:keepNext/>
      <w:outlineLvl w:val="0"/>
    </w:pPr>
    <w:rPr>
      <w:rFonts w:ascii="Arial" w:hAnsi="Arial" w:cs="Arial"/>
      <w:b/>
      <w:bCs/>
      <w:sz w:val="28"/>
      <w:szCs w:val="28"/>
    </w:rPr>
  </w:style>
  <w:style w:type="paragraph" w:styleId="berschrift2">
    <w:name w:val="heading 2"/>
    <w:basedOn w:val="Standard"/>
    <w:next w:val="Standard"/>
    <w:link w:val="berschrift2Zchn"/>
    <w:uiPriority w:val="99"/>
    <w:qFormat/>
    <w:rsid w:val="00513366"/>
    <w:pPr>
      <w:keepNext/>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Cambria"/>
      <w:b/>
      <w:bCs/>
      <w:kern w:val="32"/>
      <w:sz w:val="32"/>
      <w:szCs w:val="32"/>
    </w:rPr>
  </w:style>
  <w:style w:type="character" w:customStyle="1" w:styleId="berschrift2Zchn">
    <w:name w:val="Überschrift 2 Zchn"/>
    <w:link w:val="berschrift2"/>
    <w:uiPriority w:val="99"/>
    <w:semiHidden/>
    <w:locked/>
    <w:rPr>
      <w:rFonts w:ascii="Cambria" w:hAnsi="Cambria" w:cs="Cambria"/>
      <w:b/>
      <w:bCs/>
      <w:i/>
      <w:iCs/>
      <w:sz w:val="28"/>
      <w:szCs w:val="28"/>
    </w:rPr>
  </w:style>
  <w:style w:type="paragraph" w:styleId="Kopfzeile">
    <w:name w:val="header"/>
    <w:basedOn w:val="Standard"/>
    <w:link w:val="KopfzeileZchn"/>
    <w:uiPriority w:val="99"/>
    <w:semiHidden/>
    <w:rsid w:val="00D039A0"/>
    <w:pPr>
      <w:tabs>
        <w:tab w:val="center" w:pos="4536"/>
        <w:tab w:val="right" w:pos="9072"/>
      </w:tabs>
    </w:pPr>
  </w:style>
  <w:style w:type="character" w:customStyle="1" w:styleId="KopfzeileZchn">
    <w:name w:val="Kopfzeile Zchn"/>
    <w:link w:val="Kopfzeile"/>
    <w:uiPriority w:val="99"/>
    <w:semiHidden/>
    <w:locked/>
    <w:rPr>
      <w:rFonts w:ascii="HelveticaNeue LT 55 Roman" w:hAnsi="HelveticaNeue LT 55 Roman" w:cs="HelveticaNeue LT 55 Roman"/>
    </w:rPr>
  </w:style>
  <w:style w:type="paragraph" w:styleId="Fuzeile">
    <w:name w:val="footer"/>
    <w:basedOn w:val="Standard"/>
    <w:link w:val="FuzeileZchn"/>
    <w:uiPriority w:val="99"/>
    <w:semiHidden/>
    <w:rsid w:val="00D039A0"/>
    <w:pPr>
      <w:tabs>
        <w:tab w:val="center" w:pos="4536"/>
        <w:tab w:val="right" w:pos="9072"/>
      </w:tabs>
      <w:spacing w:before="0" w:after="0" w:line="240" w:lineRule="auto"/>
    </w:pPr>
    <w:rPr>
      <w:sz w:val="16"/>
      <w:szCs w:val="16"/>
    </w:rPr>
  </w:style>
  <w:style w:type="character" w:customStyle="1" w:styleId="FuzeileZchn">
    <w:name w:val="Fußzeile Zchn"/>
    <w:link w:val="Fuzeile"/>
    <w:uiPriority w:val="99"/>
    <w:semiHidden/>
    <w:locked/>
    <w:rPr>
      <w:rFonts w:ascii="HelveticaNeue LT 55 Roman" w:hAnsi="HelveticaNeue LT 55 Roman" w:cs="HelveticaNeue LT 55 Roman"/>
    </w:rPr>
  </w:style>
  <w:style w:type="character" w:styleId="Seitenzahl">
    <w:name w:val="page number"/>
    <w:basedOn w:val="Absatz-Standardschriftart"/>
    <w:uiPriority w:val="99"/>
    <w:semiHidden/>
    <w:rsid w:val="00D039A0"/>
  </w:style>
  <w:style w:type="paragraph" w:styleId="Sprechblasentext">
    <w:name w:val="Balloon Text"/>
    <w:basedOn w:val="Standard"/>
    <w:link w:val="SprechblasentextZchn"/>
    <w:uiPriority w:val="99"/>
    <w:semiHidden/>
    <w:rsid w:val="00BE7677"/>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BE7677"/>
    <w:rPr>
      <w:rFonts w:ascii="Tahoma" w:hAnsi="Tahoma" w:cs="Tahoma"/>
      <w:sz w:val="16"/>
      <w:szCs w:val="16"/>
    </w:rPr>
  </w:style>
  <w:style w:type="character" w:styleId="Kommentarzeichen">
    <w:name w:val="annotation reference"/>
    <w:basedOn w:val="Absatz-Standardschriftart"/>
    <w:uiPriority w:val="99"/>
    <w:semiHidden/>
    <w:unhideWhenUsed/>
    <w:rsid w:val="004E448C"/>
    <w:rPr>
      <w:sz w:val="16"/>
      <w:szCs w:val="16"/>
    </w:rPr>
  </w:style>
  <w:style w:type="paragraph" w:styleId="Kommentartext">
    <w:name w:val="annotation text"/>
    <w:basedOn w:val="Standard"/>
    <w:link w:val="KommentartextZchn"/>
    <w:uiPriority w:val="99"/>
    <w:semiHidden/>
    <w:unhideWhenUsed/>
    <w:rsid w:val="004E448C"/>
    <w:rPr>
      <w:sz w:val="20"/>
      <w:szCs w:val="20"/>
    </w:rPr>
  </w:style>
  <w:style w:type="character" w:customStyle="1" w:styleId="KommentartextZchn">
    <w:name w:val="Kommentartext Zchn"/>
    <w:basedOn w:val="Absatz-Standardschriftart"/>
    <w:link w:val="Kommentartext"/>
    <w:uiPriority w:val="99"/>
    <w:semiHidden/>
    <w:rsid w:val="004E448C"/>
    <w:rPr>
      <w:rFonts w:ascii="HelveticaNeue LT 55 Roman" w:hAnsi="HelveticaNeue LT 55 Roman" w:cs="HelveticaNeue LT 55 Roman"/>
    </w:rPr>
  </w:style>
  <w:style w:type="paragraph" w:styleId="Kommentarthema">
    <w:name w:val="annotation subject"/>
    <w:basedOn w:val="Kommentartext"/>
    <w:next w:val="Kommentartext"/>
    <w:link w:val="KommentarthemaZchn"/>
    <w:uiPriority w:val="99"/>
    <w:semiHidden/>
    <w:unhideWhenUsed/>
    <w:rsid w:val="004E448C"/>
    <w:rPr>
      <w:b/>
      <w:bCs/>
    </w:rPr>
  </w:style>
  <w:style w:type="character" w:customStyle="1" w:styleId="KommentarthemaZchn">
    <w:name w:val="Kommentarthema Zchn"/>
    <w:basedOn w:val="KommentartextZchn"/>
    <w:link w:val="Kommentarthema"/>
    <w:uiPriority w:val="99"/>
    <w:semiHidden/>
    <w:rsid w:val="004E448C"/>
    <w:rPr>
      <w:rFonts w:ascii="HelveticaNeue LT 55 Roman" w:hAnsi="HelveticaNeue LT 55 Roman" w:cs="HelveticaNeue LT 55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039A0"/>
    <w:pPr>
      <w:spacing w:before="120" w:after="240" w:line="360" w:lineRule="auto"/>
    </w:pPr>
    <w:rPr>
      <w:rFonts w:ascii="HelveticaNeue LT 55 Roman" w:hAnsi="HelveticaNeue LT 55 Roman" w:cs="HelveticaNeue LT 55 Roman"/>
      <w:sz w:val="22"/>
      <w:szCs w:val="22"/>
    </w:rPr>
  </w:style>
  <w:style w:type="paragraph" w:styleId="berschrift1">
    <w:name w:val="heading 1"/>
    <w:basedOn w:val="Standard"/>
    <w:next w:val="Standard"/>
    <w:link w:val="berschrift1Zchn"/>
    <w:uiPriority w:val="99"/>
    <w:qFormat/>
    <w:rsid w:val="00513366"/>
    <w:pPr>
      <w:keepNext/>
      <w:outlineLvl w:val="0"/>
    </w:pPr>
    <w:rPr>
      <w:rFonts w:ascii="Arial" w:hAnsi="Arial" w:cs="Arial"/>
      <w:b/>
      <w:bCs/>
      <w:sz w:val="28"/>
      <w:szCs w:val="28"/>
    </w:rPr>
  </w:style>
  <w:style w:type="paragraph" w:styleId="berschrift2">
    <w:name w:val="heading 2"/>
    <w:basedOn w:val="Standard"/>
    <w:next w:val="Standard"/>
    <w:link w:val="berschrift2Zchn"/>
    <w:uiPriority w:val="99"/>
    <w:qFormat/>
    <w:rsid w:val="00513366"/>
    <w:pPr>
      <w:keepNext/>
      <w:outlineLvl w:val="1"/>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Cambria"/>
      <w:b/>
      <w:bCs/>
      <w:kern w:val="32"/>
      <w:sz w:val="32"/>
      <w:szCs w:val="32"/>
    </w:rPr>
  </w:style>
  <w:style w:type="character" w:customStyle="1" w:styleId="berschrift2Zchn">
    <w:name w:val="Überschrift 2 Zchn"/>
    <w:link w:val="berschrift2"/>
    <w:uiPriority w:val="99"/>
    <w:semiHidden/>
    <w:locked/>
    <w:rPr>
      <w:rFonts w:ascii="Cambria" w:hAnsi="Cambria" w:cs="Cambria"/>
      <w:b/>
      <w:bCs/>
      <w:i/>
      <w:iCs/>
      <w:sz w:val="28"/>
      <w:szCs w:val="28"/>
    </w:rPr>
  </w:style>
  <w:style w:type="paragraph" w:styleId="Kopfzeile">
    <w:name w:val="header"/>
    <w:basedOn w:val="Standard"/>
    <w:link w:val="KopfzeileZchn"/>
    <w:uiPriority w:val="99"/>
    <w:semiHidden/>
    <w:rsid w:val="00D039A0"/>
    <w:pPr>
      <w:tabs>
        <w:tab w:val="center" w:pos="4536"/>
        <w:tab w:val="right" w:pos="9072"/>
      </w:tabs>
    </w:pPr>
  </w:style>
  <w:style w:type="character" w:customStyle="1" w:styleId="KopfzeileZchn">
    <w:name w:val="Kopfzeile Zchn"/>
    <w:link w:val="Kopfzeile"/>
    <w:uiPriority w:val="99"/>
    <w:semiHidden/>
    <w:locked/>
    <w:rPr>
      <w:rFonts w:ascii="HelveticaNeue LT 55 Roman" w:hAnsi="HelveticaNeue LT 55 Roman" w:cs="HelveticaNeue LT 55 Roman"/>
    </w:rPr>
  </w:style>
  <w:style w:type="paragraph" w:styleId="Fuzeile">
    <w:name w:val="footer"/>
    <w:basedOn w:val="Standard"/>
    <w:link w:val="FuzeileZchn"/>
    <w:uiPriority w:val="99"/>
    <w:semiHidden/>
    <w:rsid w:val="00D039A0"/>
    <w:pPr>
      <w:tabs>
        <w:tab w:val="center" w:pos="4536"/>
        <w:tab w:val="right" w:pos="9072"/>
      </w:tabs>
      <w:spacing w:before="0" w:after="0" w:line="240" w:lineRule="auto"/>
    </w:pPr>
    <w:rPr>
      <w:sz w:val="16"/>
      <w:szCs w:val="16"/>
    </w:rPr>
  </w:style>
  <w:style w:type="character" w:customStyle="1" w:styleId="FuzeileZchn">
    <w:name w:val="Fußzeile Zchn"/>
    <w:link w:val="Fuzeile"/>
    <w:uiPriority w:val="99"/>
    <w:semiHidden/>
    <w:locked/>
    <w:rPr>
      <w:rFonts w:ascii="HelveticaNeue LT 55 Roman" w:hAnsi="HelveticaNeue LT 55 Roman" w:cs="HelveticaNeue LT 55 Roman"/>
    </w:rPr>
  </w:style>
  <w:style w:type="character" w:styleId="Seitenzahl">
    <w:name w:val="page number"/>
    <w:basedOn w:val="Absatz-Standardschriftart"/>
    <w:uiPriority w:val="99"/>
    <w:semiHidden/>
    <w:rsid w:val="00D039A0"/>
  </w:style>
  <w:style w:type="paragraph" w:styleId="Sprechblasentext">
    <w:name w:val="Balloon Text"/>
    <w:basedOn w:val="Standard"/>
    <w:link w:val="SprechblasentextZchn"/>
    <w:uiPriority w:val="99"/>
    <w:semiHidden/>
    <w:rsid w:val="00BE7677"/>
    <w:pPr>
      <w:spacing w:before="0" w:after="0" w:line="240" w:lineRule="auto"/>
    </w:pPr>
    <w:rPr>
      <w:rFonts w:ascii="Tahoma" w:hAnsi="Tahoma" w:cs="Tahoma"/>
      <w:sz w:val="16"/>
      <w:szCs w:val="16"/>
    </w:rPr>
  </w:style>
  <w:style w:type="character" w:customStyle="1" w:styleId="SprechblasentextZchn">
    <w:name w:val="Sprechblasentext Zchn"/>
    <w:link w:val="Sprechblasentext"/>
    <w:uiPriority w:val="99"/>
    <w:semiHidden/>
    <w:locked/>
    <w:rsid w:val="00BE7677"/>
    <w:rPr>
      <w:rFonts w:ascii="Tahoma" w:hAnsi="Tahoma" w:cs="Tahoma"/>
      <w:sz w:val="16"/>
      <w:szCs w:val="16"/>
    </w:rPr>
  </w:style>
  <w:style w:type="character" w:styleId="Kommentarzeichen">
    <w:name w:val="annotation reference"/>
    <w:basedOn w:val="Absatz-Standardschriftart"/>
    <w:uiPriority w:val="99"/>
    <w:semiHidden/>
    <w:unhideWhenUsed/>
    <w:rsid w:val="004E448C"/>
    <w:rPr>
      <w:sz w:val="16"/>
      <w:szCs w:val="16"/>
    </w:rPr>
  </w:style>
  <w:style w:type="paragraph" w:styleId="Kommentartext">
    <w:name w:val="annotation text"/>
    <w:basedOn w:val="Standard"/>
    <w:link w:val="KommentartextZchn"/>
    <w:uiPriority w:val="99"/>
    <w:semiHidden/>
    <w:unhideWhenUsed/>
    <w:rsid w:val="004E448C"/>
    <w:rPr>
      <w:sz w:val="20"/>
      <w:szCs w:val="20"/>
    </w:rPr>
  </w:style>
  <w:style w:type="character" w:customStyle="1" w:styleId="KommentartextZchn">
    <w:name w:val="Kommentartext Zchn"/>
    <w:basedOn w:val="Absatz-Standardschriftart"/>
    <w:link w:val="Kommentartext"/>
    <w:uiPriority w:val="99"/>
    <w:semiHidden/>
    <w:rsid w:val="004E448C"/>
    <w:rPr>
      <w:rFonts w:ascii="HelveticaNeue LT 55 Roman" w:hAnsi="HelveticaNeue LT 55 Roman" w:cs="HelveticaNeue LT 55 Roman"/>
    </w:rPr>
  </w:style>
  <w:style w:type="paragraph" w:styleId="Kommentarthema">
    <w:name w:val="annotation subject"/>
    <w:basedOn w:val="Kommentartext"/>
    <w:next w:val="Kommentartext"/>
    <w:link w:val="KommentarthemaZchn"/>
    <w:uiPriority w:val="99"/>
    <w:semiHidden/>
    <w:unhideWhenUsed/>
    <w:rsid w:val="004E448C"/>
    <w:rPr>
      <w:b/>
      <w:bCs/>
    </w:rPr>
  </w:style>
  <w:style w:type="character" w:customStyle="1" w:styleId="KommentarthemaZchn">
    <w:name w:val="Kommentarthema Zchn"/>
    <w:basedOn w:val="KommentartextZchn"/>
    <w:link w:val="Kommentarthema"/>
    <w:uiPriority w:val="99"/>
    <w:semiHidden/>
    <w:rsid w:val="004E448C"/>
    <w:rPr>
      <w:rFonts w:ascii="HelveticaNeue LT 55 Roman" w:hAnsi="HelveticaNeue LT 55 Roman" w:cs="HelveticaNeue LT 55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48889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1688</Words>
  <Characters>9651</Characters>
  <Application>Microsoft Office Word</Application>
  <DocSecurity>0</DocSecurity>
  <Lines>80</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Headline</vt:lpstr>
      <vt:lpstr>Headline</vt:lpstr>
    </vt:vector>
  </TitlesOfParts>
  <Company>TGW</Company>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nod</dc:creator>
  <cp:lastModifiedBy>nod</cp:lastModifiedBy>
  <cp:revision>10</cp:revision>
  <cp:lastPrinted>2010-06-14T08:44:00Z</cp:lastPrinted>
  <dcterms:created xsi:type="dcterms:W3CDTF">2012-12-12T08:38:00Z</dcterms:created>
  <dcterms:modified xsi:type="dcterms:W3CDTF">2013-01-08T08:01:00Z</dcterms:modified>
</cp:coreProperties>
</file>