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52" w:rsidRPr="004C2744" w:rsidRDefault="0047585B" w:rsidP="00FE0F44">
      <w:pPr>
        <w:pStyle w:val="berschrift1"/>
        <w:spacing w:before="120" w:after="240" w:line="360" w:lineRule="auto"/>
        <w:ind w:right="1985"/>
        <w:rPr>
          <w:lang w:val="en-GB"/>
        </w:rPr>
      </w:pPr>
      <w:r>
        <w:rPr>
          <w:lang w:val="en-GB"/>
        </w:rPr>
        <w:t>Individual</w:t>
      </w:r>
      <w:r w:rsidR="00A23DE9">
        <w:rPr>
          <w:lang w:val="en-GB"/>
        </w:rPr>
        <w:t xml:space="preserve"> and</w:t>
      </w:r>
      <w:r w:rsidR="00CD0FCC">
        <w:rPr>
          <w:lang w:val="en-GB"/>
        </w:rPr>
        <w:t xml:space="preserve"> best performance for </w:t>
      </w:r>
      <w:proofErr w:type="spellStart"/>
      <w:r w:rsidR="00CD0FCC">
        <w:rPr>
          <w:lang w:val="en-GB"/>
        </w:rPr>
        <w:t>a</w:t>
      </w:r>
      <w:r>
        <w:rPr>
          <w:lang w:val="en-GB"/>
        </w:rPr>
        <w:t>didas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Brasil</w:t>
      </w:r>
      <w:proofErr w:type="spellEnd"/>
      <w:r>
        <w:rPr>
          <w:lang w:val="en-GB"/>
        </w:rPr>
        <w:t xml:space="preserve"> – powered by TGW</w:t>
      </w:r>
    </w:p>
    <w:p w:rsidR="0047585B" w:rsidRDefault="00CD0FCC" w:rsidP="0047585B">
      <w:pPr>
        <w:spacing w:before="120" w:after="240" w:line="360" w:lineRule="auto"/>
        <w:ind w:right="1985"/>
        <w:rPr>
          <w:rFonts w:cs="Arial"/>
          <w:b/>
          <w:lang w:val="en-GB"/>
        </w:rPr>
      </w:pPr>
      <w:proofErr w:type="spellStart"/>
      <w:r>
        <w:rPr>
          <w:rFonts w:cs="Arial"/>
          <w:b/>
          <w:lang w:val="en-GB"/>
        </w:rPr>
        <w:t>a</w:t>
      </w:r>
      <w:r w:rsidR="0047585B">
        <w:rPr>
          <w:rFonts w:cs="Arial"/>
          <w:b/>
          <w:lang w:val="en-GB"/>
        </w:rPr>
        <w:t>didas</w:t>
      </w:r>
      <w:proofErr w:type="spellEnd"/>
      <w:r w:rsidR="0047585B">
        <w:rPr>
          <w:rFonts w:cs="Arial"/>
          <w:b/>
          <w:lang w:val="en-GB"/>
        </w:rPr>
        <w:t xml:space="preserve"> stands for high performance concerning sports</w:t>
      </w:r>
      <w:r w:rsidR="00A23DE9">
        <w:rPr>
          <w:rFonts w:cs="Arial"/>
          <w:b/>
          <w:lang w:val="en-GB"/>
        </w:rPr>
        <w:t xml:space="preserve"> </w:t>
      </w:r>
      <w:r w:rsidR="0047585B">
        <w:rPr>
          <w:rFonts w:cs="Arial"/>
          <w:b/>
          <w:lang w:val="en-GB"/>
        </w:rPr>
        <w:t xml:space="preserve">– aiming at the best possible support for sports people to become better and feel well at the same time. Now, it is time for </w:t>
      </w:r>
      <w:proofErr w:type="spellStart"/>
      <w:r>
        <w:rPr>
          <w:rFonts w:cs="Arial"/>
          <w:b/>
          <w:lang w:val="en-GB"/>
        </w:rPr>
        <w:t>a</w:t>
      </w:r>
      <w:r w:rsidR="0047585B">
        <w:rPr>
          <w:rFonts w:cs="Arial"/>
          <w:b/>
          <w:lang w:val="en-GB"/>
        </w:rPr>
        <w:t>didas</w:t>
      </w:r>
      <w:proofErr w:type="spellEnd"/>
      <w:r w:rsidR="0047585B">
        <w:rPr>
          <w:rFonts w:cs="Arial"/>
          <w:b/>
          <w:lang w:val="en-GB"/>
        </w:rPr>
        <w:t xml:space="preserve"> to receive a high-performance logistics centre in Embu das </w:t>
      </w:r>
      <w:proofErr w:type="spellStart"/>
      <w:r w:rsidR="0047585B">
        <w:rPr>
          <w:rFonts w:cs="Arial"/>
          <w:b/>
          <w:lang w:val="en-GB"/>
        </w:rPr>
        <w:t>Artes</w:t>
      </w:r>
      <w:proofErr w:type="spellEnd"/>
      <w:r w:rsidR="0047585B">
        <w:rPr>
          <w:rFonts w:cs="Arial"/>
          <w:b/>
          <w:lang w:val="en-GB"/>
        </w:rPr>
        <w:t xml:space="preserve">, Brazil, provided by the Austrian systems integrator TGW. </w:t>
      </w:r>
    </w:p>
    <w:p w:rsidR="0047585B" w:rsidRDefault="00F05D1E" w:rsidP="0047585B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 xml:space="preserve">Best performance in sports and </w:t>
      </w:r>
      <w:r w:rsidR="00CD0FCC">
        <w:rPr>
          <w:rFonts w:cs="Arial"/>
          <w:lang w:val="en-GB"/>
        </w:rPr>
        <w:t xml:space="preserve">best performance in logistics. </w:t>
      </w:r>
      <w:proofErr w:type="spellStart"/>
      <w:r w:rsidR="00CD0FCC">
        <w:rPr>
          <w:rFonts w:cs="Arial"/>
          <w:lang w:val="en-GB"/>
        </w:rPr>
        <w:t>a</w:t>
      </w:r>
      <w:r>
        <w:rPr>
          <w:rFonts w:cs="Arial"/>
          <w:lang w:val="en-GB"/>
        </w:rPr>
        <w:t>didas</w:t>
      </w:r>
      <w:proofErr w:type="spellEnd"/>
      <w:r>
        <w:rPr>
          <w:rFonts w:cs="Arial"/>
          <w:lang w:val="en-GB"/>
        </w:rPr>
        <w:t xml:space="preserve"> do </w:t>
      </w:r>
      <w:proofErr w:type="spellStart"/>
      <w:r>
        <w:rPr>
          <w:rFonts w:cs="Arial"/>
          <w:lang w:val="en-GB"/>
        </w:rPr>
        <w:t>Brasil</w:t>
      </w:r>
      <w:proofErr w:type="spellEnd"/>
      <w:r>
        <w:rPr>
          <w:rFonts w:cs="Arial"/>
          <w:lang w:val="en-GB"/>
        </w:rPr>
        <w:t xml:space="preserve"> is about to receive a modern logistics centre at their site in Embu das </w:t>
      </w:r>
      <w:proofErr w:type="spellStart"/>
      <w:r>
        <w:rPr>
          <w:rFonts w:cs="Arial"/>
          <w:lang w:val="en-GB"/>
        </w:rPr>
        <w:t>Artes</w:t>
      </w:r>
      <w:proofErr w:type="spellEnd"/>
      <w:r>
        <w:rPr>
          <w:rFonts w:cs="Arial"/>
          <w:lang w:val="en-GB"/>
        </w:rPr>
        <w:t xml:space="preserve">, near Sao Paulo. TGW will implement a sporty distribution centre to serve the </w:t>
      </w:r>
      <w:r w:rsidR="00E41889">
        <w:rPr>
          <w:rFonts w:cs="Arial"/>
          <w:lang w:val="en-GB"/>
        </w:rPr>
        <w:t xml:space="preserve">Brazilian </w:t>
      </w:r>
      <w:r>
        <w:rPr>
          <w:rFonts w:cs="Arial"/>
          <w:lang w:val="en-GB"/>
        </w:rPr>
        <w:t xml:space="preserve">market with a unique picking </w:t>
      </w:r>
      <w:r w:rsidR="00CD0FCC">
        <w:rPr>
          <w:rFonts w:cs="Arial"/>
          <w:lang w:val="en-GB"/>
        </w:rPr>
        <w:t xml:space="preserve">system especially designed for </w:t>
      </w:r>
      <w:proofErr w:type="spellStart"/>
      <w:r w:rsidR="00CD0FCC">
        <w:rPr>
          <w:rFonts w:cs="Arial"/>
          <w:lang w:val="en-GB"/>
        </w:rPr>
        <w:t>a</w:t>
      </w:r>
      <w:r>
        <w:rPr>
          <w:rFonts w:cs="Arial"/>
          <w:lang w:val="en-GB"/>
        </w:rPr>
        <w:t>didas</w:t>
      </w:r>
      <w:proofErr w:type="spellEnd"/>
      <w:r>
        <w:rPr>
          <w:rFonts w:cs="Arial"/>
          <w:lang w:val="en-GB"/>
        </w:rPr>
        <w:t xml:space="preserve">. TGW will also provide the IT system </w:t>
      </w:r>
      <w:proofErr w:type="spellStart"/>
      <w:r>
        <w:rPr>
          <w:rFonts w:cs="Arial"/>
          <w:lang w:val="en-GB"/>
        </w:rPr>
        <w:t>iWACS</w:t>
      </w:r>
      <w:proofErr w:type="spellEnd"/>
      <w:r w:rsidRPr="00F05D1E">
        <w:rPr>
          <w:rFonts w:cs="Arial"/>
          <w:vertAlign w:val="superscript"/>
          <w:lang w:val="en-GB"/>
        </w:rPr>
        <w:t>®</w:t>
      </w:r>
      <w:r>
        <w:rPr>
          <w:rFonts w:cs="Arial"/>
          <w:lang w:val="en-GB"/>
        </w:rPr>
        <w:t>.MFC assuring the material flow for the continuously high transport capacity</w:t>
      </w:r>
      <w:r w:rsidR="00C07725">
        <w:rPr>
          <w:rFonts w:cs="Arial"/>
          <w:lang w:val="en-GB"/>
        </w:rPr>
        <w:t xml:space="preserve"> as well as TGW’s Commander Controls</w:t>
      </w:r>
      <w:r>
        <w:rPr>
          <w:rFonts w:cs="Arial"/>
          <w:lang w:val="en-GB"/>
        </w:rPr>
        <w:t xml:space="preserve">. A complex conveyor system including 2.1 </w:t>
      </w:r>
      <w:r w:rsidR="00A23DE9">
        <w:rPr>
          <w:rFonts w:cs="Arial"/>
          <w:lang w:val="en-GB"/>
        </w:rPr>
        <w:t>kilometres</w:t>
      </w:r>
      <w:r>
        <w:rPr>
          <w:rFonts w:cs="Arial"/>
          <w:lang w:val="en-GB"/>
        </w:rPr>
        <w:t xml:space="preserve"> of conveyor equipment will connect the various areas in the distribution centre. </w:t>
      </w:r>
    </w:p>
    <w:p w:rsidR="00F05D1E" w:rsidRDefault="00F05D1E" w:rsidP="0047585B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 xml:space="preserve">In addition to the physics and the software of the new </w:t>
      </w:r>
      <w:proofErr w:type="spellStart"/>
      <w:r w:rsidR="00CD0FCC">
        <w:rPr>
          <w:rFonts w:cs="Arial"/>
          <w:lang w:val="en-GB"/>
        </w:rPr>
        <w:t>a</w:t>
      </w:r>
      <w:r>
        <w:rPr>
          <w:rFonts w:cs="Arial"/>
          <w:lang w:val="en-GB"/>
        </w:rPr>
        <w:t>didas</w:t>
      </w:r>
      <w:proofErr w:type="spellEnd"/>
      <w:r>
        <w:rPr>
          <w:rFonts w:cs="Arial"/>
          <w:lang w:val="en-GB"/>
        </w:rPr>
        <w:t xml:space="preserve"> distribution centre, TGW also provides a Lifetime Service package offering spare parts and a two year on-site maintenance contract including 24/7 hotline services. </w:t>
      </w:r>
      <w:proofErr w:type="spellStart"/>
      <w:r w:rsidR="00575954">
        <w:rPr>
          <w:rFonts w:cs="Arial"/>
          <w:lang w:val="en-GB"/>
        </w:rPr>
        <w:t>Diogo</w:t>
      </w:r>
      <w:proofErr w:type="spellEnd"/>
      <w:r w:rsidR="00575954">
        <w:rPr>
          <w:rFonts w:cs="Arial"/>
          <w:lang w:val="en-GB"/>
        </w:rPr>
        <w:t xml:space="preserve"> </w:t>
      </w:r>
      <w:proofErr w:type="spellStart"/>
      <w:r w:rsidR="00575954">
        <w:rPr>
          <w:rFonts w:cs="Arial"/>
          <w:lang w:val="en-GB"/>
        </w:rPr>
        <w:t>Figueiredo</w:t>
      </w:r>
      <w:proofErr w:type="spellEnd"/>
      <w:r w:rsidR="00575954">
        <w:rPr>
          <w:rFonts w:cs="Arial"/>
          <w:lang w:val="en-GB"/>
        </w:rPr>
        <w:t xml:space="preserve">, SCM Director at </w:t>
      </w:r>
      <w:proofErr w:type="spellStart"/>
      <w:r w:rsidR="00CD0FCC">
        <w:rPr>
          <w:rFonts w:cs="Arial"/>
          <w:lang w:val="en-GB"/>
        </w:rPr>
        <w:t>a</w:t>
      </w:r>
      <w:r w:rsidR="00575954">
        <w:rPr>
          <w:rFonts w:cs="Arial"/>
          <w:lang w:val="en-GB"/>
        </w:rPr>
        <w:t>didas</w:t>
      </w:r>
      <w:proofErr w:type="spellEnd"/>
      <w:r w:rsidR="00575954">
        <w:rPr>
          <w:rFonts w:cs="Arial"/>
          <w:lang w:val="en-GB"/>
        </w:rPr>
        <w:t xml:space="preserve"> do </w:t>
      </w:r>
      <w:proofErr w:type="spellStart"/>
      <w:r w:rsidR="00575954">
        <w:rPr>
          <w:rFonts w:cs="Arial"/>
          <w:lang w:val="en-GB"/>
        </w:rPr>
        <w:t>Brasil</w:t>
      </w:r>
      <w:proofErr w:type="spellEnd"/>
      <w:r w:rsidR="00575954">
        <w:rPr>
          <w:rFonts w:cs="Arial"/>
          <w:lang w:val="en-GB"/>
        </w:rPr>
        <w:t xml:space="preserve"> is happy about the start of the project: “</w:t>
      </w:r>
      <w:proofErr w:type="spellStart"/>
      <w:r w:rsidR="00CD0FCC">
        <w:rPr>
          <w:rFonts w:cs="Arial"/>
          <w:lang w:val="en-GB"/>
        </w:rPr>
        <w:t>a</w:t>
      </w:r>
      <w:r w:rsidR="00575954">
        <w:rPr>
          <w:rFonts w:cs="Arial"/>
          <w:lang w:val="en-GB"/>
        </w:rPr>
        <w:t>didas</w:t>
      </w:r>
      <w:proofErr w:type="spellEnd"/>
      <w:r w:rsidR="00575954">
        <w:rPr>
          <w:rFonts w:cs="Arial"/>
          <w:lang w:val="en-GB"/>
        </w:rPr>
        <w:t xml:space="preserve"> do </w:t>
      </w:r>
      <w:proofErr w:type="spellStart"/>
      <w:r w:rsidR="00575954">
        <w:rPr>
          <w:rFonts w:cs="Arial"/>
          <w:lang w:val="en-GB"/>
        </w:rPr>
        <w:t>Brasil</w:t>
      </w:r>
      <w:proofErr w:type="spellEnd"/>
      <w:r w:rsidR="00575954">
        <w:rPr>
          <w:rFonts w:cs="Arial"/>
          <w:lang w:val="en-GB"/>
        </w:rPr>
        <w:t xml:space="preserve"> is well recognized as one of the best logistics services providers in the sports goods market. Our expectation with TGW as partner is to enlarge our efficienci</w:t>
      </w:r>
      <w:bookmarkStart w:id="0" w:name="_GoBack"/>
      <w:bookmarkEnd w:id="0"/>
      <w:r w:rsidR="00575954">
        <w:rPr>
          <w:rFonts w:cs="Arial"/>
          <w:lang w:val="en-GB"/>
        </w:rPr>
        <w:t xml:space="preserve">es in this highly competitive business.” </w:t>
      </w:r>
    </w:p>
    <w:p w:rsidR="00F05D1E" w:rsidRDefault="00F05D1E" w:rsidP="0047585B">
      <w:pPr>
        <w:spacing w:before="120" w:after="240" w:line="360" w:lineRule="auto"/>
        <w:ind w:right="1985"/>
        <w:rPr>
          <w:rFonts w:cs="Arial"/>
          <w:lang w:val="en-GB"/>
        </w:rPr>
      </w:pPr>
    </w:p>
    <w:p w:rsidR="002B4D99" w:rsidRPr="004C2744" w:rsidRDefault="002B4D99" w:rsidP="00260B53">
      <w:pPr>
        <w:spacing w:line="360" w:lineRule="auto"/>
        <w:ind w:right="1983"/>
        <w:rPr>
          <w:lang w:val="en-GB"/>
        </w:rPr>
      </w:pPr>
      <w:r w:rsidRPr="004C2744">
        <w:rPr>
          <w:lang w:val="en-GB"/>
        </w:rPr>
        <w:t>www.tgw-group.com</w:t>
      </w:r>
    </w:p>
    <w:p w:rsidR="002B4D99" w:rsidRPr="004C2744" w:rsidRDefault="002B4D99" w:rsidP="00260B53">
      <w:pPr>
        <w:spacing w:line="360" w:lineRule="auto"/>
        <w:ind w:right="1983"/>
        <w:rPr>
          <w:lang w:val="en-GB"/>
        </w:rPr>
      </w:pPr>
    </w:p>
    <w:p w:rsidR="003A4B21" w:rsidRPr="004C2744" w:rsidRDefault="003A4B21" w:rsidP="003A4B21">
      <w:pPr>
        <w:spacing w:before="240" w:after="120" w:line="360" w:lineRule="auto"/>
        <w:ind w:right="1983"/>
        <w:rPr>
          <w:b/>
          <w:bCs/>
          <w:lang w:val="en-GB"/>
        </w:rPr>
      </w:pPr>
      <w:r w:rsidRPr="004C2744">
        <w:rPr>
          <w:b/>
          <w:bCs/>
          <w:lang w:val="en-GB"/>
        </w:rPr>
        <w:t>About TGW Logistics Group:</w:t>
      </w:r>
    </w:p>
    <w:p w:rsidR="00652BBC" w:rsidRPr="004C2744" w:rsidRDefault="00652BBC" w:rsidP="00652BBC">
      <w:pPr>
        <w:spacing w:before="240" w:after="120" w:line="360" w:lineRule="auto"/>
        <w:ind w:right="1983"/>
        <w:rPr>
          <w:lang w:val="en-GB"/>
        </w:rPr>
      </w:pPr>
      <w:r w:rsidRPr="004C2744">
        <w:rPr>
          <w:lang w:val="en-GB"/>
        </w:rPr>
        <w:t xml:space="preserve">TGW Logistics Group is a worldwide leading systems provider of highly dynamic, automated and turn-key logistics solutions. Since 1969 the company </w:t>
      </w:r>
      <w:r w:rsidRPr="004C2744">
        <w:rPr>
          <w:lang w:val="en-GB"/>
        </w:rPr>
        <w:lastRenderedPageBreak/>
        <w:t xml:space="preserve">has been implementing different internal logistics solutions, from small material handling applications to complex logistics centres. </w:t>
      </w:r>
    </w:p>
    <w:p w:rsidR="00652BBC" w:rsidRPr="004C2744" w:rsidRDefault="00E5309F" w:rsidP="00652BBC">
      <w:pPr>
        <w:spacing w:before="240" w:after="120" w:line="360" w:lineRule="auto"/>
        <w:ind w:right="1983"/>
        <w:rPr>
          <w:lang w:val="en-GB"/>
        </w:rPr>
      </w:pPr>
      <w:r w:rsidRPr="004C2744">
        <w:rPr>
          <w:lang w:val="en-GB"/>
        </w:rPr>
        <w:t>With about 2</w:t>
      </w:r>
      <w:r w:rsidR="00652BBC" w:rsidRPr="004C2744">
        <w:rPr>
          <w:lang w:val="en-GB"/>
        </w:rPr>
        <w:t>,</w:t>
      </w:r>
      <w:r w:rsidRPr="004C2744">
        <w:rPr>
          <w:lang w:val="en-GB"/>
        </w:rPr>
        <w:t>0</w:t>
      </w:r>
      <w:r w:rsidR="00652BBC" w:rsidRPr="004C2744">
        <w:rPr>
          <w:lang w:val="en-GB"/>
        </w:rPr>
        <w:t>00 employees worldwide by now, the Group implements logistics solutions for leading companies in various indus</w:t>
      </w:r>
      <w:r w:rsidRPr="004C2744">
        <w:rPr>
          <w:lang w:val="en-GB"/>
        </w:rPr>
        <w:t>tries. In the business year 2013</w:t>
      </w:r>
      <w:r w:rsidR="00652BBC" w:rsidRPr="004C2744">
        <w:rPr>
          <w:lang w:val="en-GB"/>
        </w:rPr>
        <w:t>/1</w:t>
      </w:r>
      <w:r w:rsidRPr="004C2744">
        <w:rPr>
          <w:lang w:val="en-GB"/>
        </w:rPr>
        <w:t>4</w:t>
      </w:r>
      <w:r w:rsidR="00652BBC" w:rsidRPr="004C2744">
        <w:rPr>
          <w:lang w:val="en-GB"/>
        </w:rPr>
        <w:t>, the TGW Logistics Group</w:t>
      </w:r>
      <w:r w:rsidRPr="004C2744">
        <w:rPr>
          <w:lang w:val="en-GB"/>
        </w:rPr>
        <w:t xml:space="preserve"> generated sales revenues of 371</w:t>
      </w:r>
      <w:r w:rsidR="00652BBC" w:rsidRPr="004C2744">
        <w:rPr>
          <w:lang w:val="en-GB"/>
        </w:rPr>
        <w:t xml:space="preserve"> million Euros.</w:t>
      </w:r>
    </w:p>
    <w:p w:rsidR="003A4B21" w:rsidRPr="004C2744" w:rsidRDefault="003A4B21" w:rsidP="003A4B21">
      <w:pPr>
        <w:spacing w:before="240" w:after="120" w:line="360" w:lineRule="auto"/>
        <w:ind w:right="1983"/>
        <w:rPr>
          <w:b/>
          <w:bCs/>
          <w:lang w:val="en-GB"/>
        </w:rPr>
      </w:pPr>
      <w:r w:rsidRPr="004C2744">
        <w:rPr>
          <w:b/>
          <w:bCs/>
          <w:lang w:val="en-GB"/>
        </w:rPr>
        <w:t>Pictures:</w:t>
      </w:r>
    </w:p>
    <w:p w:rsidR="003A4B21" w:rsidRPr="004C2744" w:rsidRDefault="003A4B21" w:rsidP="003A4B21">
      <w:pPr>
        <w:spacing w:before="240" w:after="120" w:line="360" w:lineRule="auto"/>
        <w:ind w:right="1983"/>
        <w:rPr>
          <w:lang w:val="en-GB"/>
        </w:rPr>
      </w:pPr>
      <w:r w:rsidRPr="004C2744">
        <w:rPr>
          <w:lang w:val="en-GB"/>
        </w:rPr>
        <w:t>Source: TGW Logistics Group GmbH</w:t>
      </w:r>
      <w:r w:rsidRPr="004C2744">
        <w:rPr>
          <w:lang w:val="en-GB"/>
        </w:rPr>
        <w:br/>
        <w:t>Reprint with reference to TGW Logistics Group GmbH free of charge. Reprint is not permitted for promotional purposes.</w:t>
      </w:r>
    </w:p>
    <w:p w:rsidR="00260B53" w:rsidRPr="004C2744" w:rsidRDefault="00260B53" w:rsidP="00260B53">
      <w:pPr>
        <w:spacing w:line="360" w:lineRule="auto"/>
        <w:ind w:right="1983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B4D99" w:rsidRPr="00CD0FCC" w:rsidTr="00957E9B">
        <w:tc>
          <w:tcPr>
            <w:tcW w:w="4889" w:type="dxa"/>
            <w:shd w:val="clear" w:color="auto" w:fill="auto"/>
          </w:tcPr>
          <w:p w:rsidR="002B4D99" w:rsidRPr="004C2744" w:rsidRDefault="003A4B21" w:rsidP="00957E9B">
            <w:pPr>
              <w:rPr>
                <w:b/>
                <w:lang w:val="en-GB"/>
              </w:rPr>
            </w:pPr>
            <w:r w:rsidRPr="004C2744">
              <w:rPr>
                <w:b/>
                <w:lang w:val="en-GB"/>
              </w:rPr>
              <w:t>Contact:</w:t>
            </w:r>
          </w:p>
          <w:p w:rsidR="002B4D99" w:rsidRPr="004C2744" w:rsidRDefault="002B4D99" w:rsidP="00957E9B">
            <w:pPr>
              <w:spacing w:after="0"/>
              <w:rPr>
                <w:lang w:val="en-GB"/>
              </w:rPr>
            </w:pPr>
            <w:r w:rsidRPr="004C2744">
              <w:rPr>
                <w:lang w:val="en-GB"/>
              </w:rPr>
              <w:t>TGW Logistics Group GmbH</w:t>
            </w:r>
          </w:p>
          <w:p w:rsidR="002B4D99" w:rsidRPr="004C2744" w:rsidRDefault="002B4D99" w:rsidP="00957E9B">
            <w:pPr>
              <w:spacing w:after="0"/>
              <w:rPr>
                <w:lang w:val="en-GB"/>
              </w:rPr>
            </w:pPr>
            <w:r w:rsidRPr="004C2744">
              <w:rPr>
                <w:lang w:val="en-GB"/>
              </w:rPr>
              <w:t xml:space="preserve">4600 Wels, </w:t>
            </w:r>
            <w:proofErr w:type="spellStart"/>
            <w:r w:rsidRPr="004C2744">
              <w:rPr>
                <w:lang w:val="en-GB"/>
              </w:rPr>
              <w:t>Collmannstraße</w:t>
            </w:r>
            <w:proofErr w:type="spellEnd"/>
            <w:r w:rsidRPr="004C2744">
              <w:rPr>
                <w:lang w:val="en-GB"/>
              </w:rPr>
              <w:t xml:space="preserve"> 2, Austria</w:t>
            </w:r>
          </w:p>
          <w:p w:rsidR="002B4D99" w:rsidRPr="00E3315C" w:rsidRDefault="002B4D99" w:rsidP="00957E9B">
            <w:pPr>
              <w:spacing w:after="0"/>
              <w:rPr>
                <w:lang w:val="fr-FR"/>
              </w:rPr>
            </w:pPr>
            <w:r w:rsidRPr="00E3315C">
              <w:rPr>
                <w:lang w:val="fr-FR"/>
              </w:rPr>
              <w:t>T: +43.7242.486-0</w:t>
            </w:r>
          </w:p>
          <w:p w:rsidR="002B4D99" w:rsidRPr="00E3315C" w:rsidRDefault="002B4D99" w:rsidP="00957E9B">
            <w:pPr>
              <w:spacing w:after="0"/>
              <w:rPr>
                <w:lang w:val="fr-FR"/>
              </w:rPr>
            </w:pPr>
            <w:r w:rsidRPr="00E3315C">
              <w:rPr>
                <w:lang w:val="fr-FR"/>
              </w:rPr>
              <w:t>F: +43.7242.486-31</w:t>
            </w:r>
          </w:p>
          <w:p w:rsidR="002B4D99" w:rsidRPr="00E3315C" w:rsidRDefault="002B4D99" w:rsidP="00957E9B">
            <w:pPr>
              <w:spacing w:after="0"/>
              <w:rPr>
                <w:lang w:val="fr-FR"/>
              </w:rPr>
            </w:pPr>
            <w:r w:rsidRPr="00E3315C">
              <w:rPr>
                <w:lang w:val="fr-FR"/>
              </w:rPr>
              <w:t>e-mail: tgw@tgw-group.com</w:t>
            </w:r>
          </w:p>
        </w:tc>
        <w:tc>
          <w:tcPr>
            <w:tcW w:w="4889" w:type="dxa"/>
            <w:shd w:val="clear" w:color="auto" w:fill="auto"/>
          </w:tcPr>
          <w:p w:rsidR="002B4D99" w:rsidRPr="002D72FD" w:rsidRDefault="002B4D99" w:rsidP="00652BBC">
            <w:pPr>
              <w:spacing w:after="0"/>
              <w:ind w:left="214"/>
              <w:rPr>
                <w:lang w:val="fr-FR"/>
              </w:rPr>
            </w:pPr>
          </w:p>
        </w:tc>
      </w:tr>
    </w:tbl>
    <w:p w:rsidR="002B4D99" w:rsidRPr="002D72FD" w:rsidRDefault="002B4D99" w:rsidP="002B4D99">
      <w:pPr>
        <w:ind w:right="1983"/>
        <w:rPr>
          <w:lang w:val="fr-FR"/>
        </w:rPr>
      </w:pPr>
    </w:p>
    <w:p w:rsidR="002D72FD" w:rsidRDefault="002D72FD" w:rsidP="002D72FD">
      <w:pPr>
        <w:rPr>
          <w:b/>
          <w:lang w:val="en-GB"/>
        </w:rPr>
      </w:pPr>
      <w:r>
        <w:rPr>
          <w:b/>
          <w:lang w:val="en-GB"/>
        </w:rPr>
        <w:t>Press contact:</w:t>
      </w:r>
    </w:p>
    <w:p w:rsidR="002D72FD" w:rsidRDefault="002D72FD" w:rsidP="002D72FD">
      <w:pPr>
        <w:spacing w:after="0"/>
        <w:rPr>
          <w:lang w:val="en-GB"/>
        </w:rPr>
      </w:pPr>
      <w:r>
        <w:rPr>
          <w:lang w:val="en-GB"/>
        </w:rPr>
        <w:t>Martin Kirchmayr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Daniela Nowak</w:t>
      </w:r>
    </w:p>
    <w:p w:rsidR="002D72FD" w:rsidRDefault="002D72FD" w:rsidP="002D72FD">
      <w:pPr>
        <w:spacing w:after="0"/>
        <w:rPr>
          <w:lang w:val="en-GB"/>
        </w:rPr>
      </w:pPr>
      <w:r>
        <w:rPr>
          <w:lang w:val="en-GB"/>
        </w:rPr>
        <w:t>Marketing &amp; Communication Manager</w:t>
      </w:r>
      <w:r>
        <w:rPr>
          <w:lang w:val="en-GB"/>
        </w:rPr>
        <w:tab/>
        <w:t xml:space="preserve">     Marketing &amp; Communication Specialist</w:t>
      </w:r>
    </w:p>
    <w:p w:rsidR="002D72FD" w:rsidRDefault="002D72FD" w:rsidP="002D72FD">
      <w:pPr>
        <w:spacing w:after="0"/>
      </w:pPr>
      <w:r>
        <w:t>T: +43.(0)7242.486-1382</w:t>
      </w:r>
      <w:r>
        <w:tab/>
      </w:r>
      <w:r>
        <w:tab/>
      </w:r>
      <w:r>
        <w:tab/>
        <w:t xml:space="preserve">     T: +43.(0)7242.486-1059</w:t>
      </w:r>
    </w:p>
    <w:p w:rsidR="002D72FD" w:rsidRDefault="002D72FD" w:rsidP="002D72FD">
      <w:pPr>
        <w:spacing w:after="0"/>
      </w:pPr>
      <w:r>
        <w:t>M: +43.(0)664.8187423</w:t>
      </w:r>
    </w:p>
    <w:p w:rsidR="002D72FD" w:rsidRDefault="00CD0FCC" w:rsidP="002D72FD">
      <w:pPr>
        <w:ind w:right="1983"/>
      </w:pPr>
      <w:hyperlink r:id="rId9" w:history="1">
        <w:r w:rsidR="002D72FD">
          <w:rPr>
            <w:rStyle w:val="Hyperlink"/>
          </w:rPr>
          <w:t>martin.kirchmayr@tgw-group.com</w:t>
        </w:r>
      </w:hyperlink>
      <w:r w:rsidR="002D72FD">
        <w:tab/>
      </w:r>
      <w:r w:rsidR="002D72FD">
        <w:tab/>
        <w:t xml:space="preserve">     </w:t>
      </w:r>
      <w:hyperlink r:id="rId10" w:history="1">
        <w:r w:rsidR="002D72FD">
          <w:rPr>
            <w:rStyle w:val="Hyperlink"/>
          </w:rPr>
          <w:t>daniela.nowak@tgw-group.com</w:t>
        </w:r>
      </w:hyperlink>
    </w:p>
    <w:p w:rsidR="00451229" w:rsidRPr="004C2744" w:rsidRDefault="00451229">
      <w:pPr>
        <w:ind w:right="1983"/>
        <w:rPr>
          <w:lang w:val="en-GB"/>
        </w:rPr>
      </w:pPr>
    </w:p>
    <w:sectPr w:rsidR="00451229" w:rsidRPr="004C2744" w:rsidSect="00D95B7C">
      <w:headerReference w:type="default" r:id="rId11"/>
      <w:footerReference w:type="default" r:id="rId12"/>
      <w:pgSz w:w="11906" w:h="16838" w:code="9"/>
      <w:pgMar w:top="283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84" w:rsidRDefault="001F6E84" w:rsidP="00FD6AEE">
      <w:pPr>
        <w:spacing w:after="0" w:line="240" w:lineRule="auto"/>
      </w:pPr>
      <w:r>
        <w:separator/>
      </w:r>
    </w:p>
  </w:endnote>
  <w:endnote w:type="continuationSeparator" w:id="0">
    <w:p w:rsidR="001F6E84" w:rsidRDefault="001F6E84" w:rsidP="00F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52" w:rsidRPr="00985472" w:rsidRDefault="003A4B21" w:rsidP="00DC57E0">
    <w:pPr>
      <w:pStyle w:val="Fuzeile"/>
      <w:jc w:val="right"/>
    </w:pPr>
    <w:proofErr w:type="spellStart"/>
    <w:r>
      <w:t>page</w:t>
    </w:r>
    <w:proofErr w:type="spellEnd"/>
    <w:r>
      <w:t xml:space="preserve"> </w:t>
    </w:r>
    <w:r w:rsidR="00595E52" w:rsidRPr="00985472">
      <w:fldChar w:fldCharType="begin"/>
    </w:r>
    <w:r w:rsidR="00595E52" w:rsidRPr="00985472">
      <w:instrText>PAGE   \* MERGEFORMAT</w:instrText>
    </w:r>
    <w:r w:rsidR="00595E52" w:rsidRPr="00985472">
      <w:fldChar w:fldCharType="separate"/>
    </w:r>
    <w:r w:rsidR="00CD0FCC" w:rsidRPr="00CD0FCC">
      <w:rPr>
        <w:noProof/>
        <w:lang w:val="de-DE"/>
      </w:rPr>
      <w:t>1</w:t>
    </w:r>
    <w:r w:rsidR="00595E52" w:rsidRPr="009854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84" w:rsidRDefault="001F6E84" w:rsidP="00FD6AEE">
      <w:pPr>
        <w:spacing w:after="0" w:line="240" w:lineRule="auto"/>
      </w:pPr>
      <w:r>
        <w:separator/>
      </w:r>
    </w:p>
  </w:footnote>
  <w:footnote w:type="continuationSeparator" w:id="0">
    <w:p w:rsidR="001F6E84" w:rsidRDefault="001F6E84" w:rsidP="00FD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52" w:rsidRDefault="00FE0F44" w:rsidP="00D95B7C">
    <w:pPr>
      <w:pStyle w:val="Titel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-870585</wp:posOffset>
          </wp:positionH>
          <wp:positionV relativeFrom="page">
            <wp:posOffset>1151890</wp:posOffset>
          </wp:positionV>
          <wp:extent cx="6972935" cy="626110"/>
          <wp:effectExtent l="0" t="0" r="0" b="2540"/>
          <wp:wrapTight wrapText="bothSides">
            <wp:wrapPolygon edited="0">
              <wp:start x="0" y="0"/>
              <wp:lineTo x="0" y="21030"/>
              <wp:lineTo x="21539" y="21030"/>
              <wp:lineTo x="21539" y="0"/>
              <wp:lineTo x="0" y="0"/>
            </wp:wrapPolygon>
          </wp:wrapTight>
          <wp:docPr id="1" name="Grafik 1" descr="Kopfzeile_neue TG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opfzeile_neue TG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30057"/>
                  <a:stretch>
                    <a:fillRect/>
                  </a:stretch>
                </pic:blipFill>
                <pic:spPr bwMode="auto">
                  <a:xfrm>
                    <a:off x="0" y="0"/>
                    <a:ext cx="69729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F7F"/>
    <w:multiLevelType w:val="hybridMultilevel"/>
    <w:tmpl w:val="95E864F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9"/>
    <w:rsid w:val="000247D1"/>
    <w:rsid w:val="000A3BEA"/>
    <w:rsid w:val="000B46CF"/>
    <w:rsid w:val="001E4E9C"/>
    <w:rsid w:val="001F6E84"/>
    <w:rsid w:val="00260B53"/>
    <w:rsid w:val="00296DF7"/>
    <w:rsid w:val="002B4D99"/>
    <w:rsid w:val="002D72FD"/>
    <w:rsid w:val="00321C68"/>
    <w:rsid w:val="00334254"/>
    <w:rsid w:val="00393976"/>
    <w:rsid w:val="003A4B21"/>
    <w:rsid w:val="003F5158"/>
    <w:rsid w:val="00413E5B"/>
    <w:rsid w:val="00451229"/>
    <w:rsid w:val="00454792"/>
    <w:rsid w:val="00466E02"/>
    <w:rsid w:val="0047585B"/>
    <w:rsid w:val="004C2744"/>
    <w:rsid w:val="004E4042"/>
    <w:rsid w:val="00541602"/>
    <w:rsid w:val="005511F4"/>
    <w:rsid w:val="0055430B"/>
    <w:rsid w:val="005625E8"/>
    <w:rsid w:val="00575954"/>
    <w:rsid w:val="00595E52"/>
    <w:rsid w:val="005A4F19"/>
    <w:rsid w:val="005C20E4"/>
    <w:rsid w:val="00616846"/>
    <w:rsid w:val="00626CCE"/>
    <w:rsid w:val="006335C0"/>
    <w:rsid w:val="00652BBC"/>
    <w:rsid w:val="00663278"/>
    <w:rsid w:val="006918EF"/>
    <w:rsid w:val="006C6A2C"/>
    <w:rsid w:val="007024BC"/>
    <w:rsid w:val="00715622"/>
    <w:rsid w:val="007509BD"/>
    <w:rsid w:val="0076637D"/>
    <w:rsid w:val="0076641A"/>
    <w:rsid w:val="00834FCC"/>
    <w:rsid w:val="0086117B"/>
    <w:rsid w:val="00892B46"/>
    <w:rsid w:val="00894138"/>
    <w:rsid w:val="008E0E5A"/>
    <w:rsid w:val="0091795E"/>
    <w:rsid w:val="00950383"/>
    <w:rsid w:val="00957E9B"/>
    <w:rsid w:val="00985472"/>
    <w:rsid w:val="00A23DE9"/>
    <w:rsid w:val="00A27EFD"/>
    <w:rsid w:val="00A33868"/>
    <w:rsid w:val="00A61272"/>
    <w:rsid w:val="00AC6B6B"/>
    <w:rsid w:val="00B56C0D"/>
    <w:rsid w:val="00BA2104"/>
    <w:rsid w:val="00BA3E5A"/>
    <w:rsid w:val="00BB4C7F"/>
    <w:rsid w:val="00BD2525"/>
    <w:rsid w:val="00C00510"/>
    <w:rsid w:val="00C07725"/>
    <w:rsid w:val="00C51C40"/>
    <w:rsid w:val="00C7285B"/>
    <w:rsid w:val="00CD0FCC"/>
    <w:rsid w:val="00D0378D"/>
    <w:rsid w:val="00D452FD"/>
    <w:rsid w:val="00D65AAA"/>
    <w:rsid w:val="00D95B7C"/>
    <w:rsid w:val="00DC57E0"/>
    <w:rsid w:val="00DF3B74"/>
    <w:rsid w:val="00E01AE6"/>
    <w:rsid w:val="00E3315C"/>
    <w:rsid w:val="00E41889"/>
    <w:rsid w:val="00E5309F"/>
    <w:rsid w:val="00E90701"/>
    <w:rsid w:val="00EB4609"/>
    <w:rsid w:val="00ED1692"/>
    <w:rsid w:val="00EE6755"/>
    <w:rsid w:val="00F05D1E"/>
    <w:rsid w:val="00F07C09"/>
    <w:rsid w:val="00F21620"/>
    <w:rsid w:val="00F274C5"/>
    <w:rsid w:val="00F547FA"/>
    <w:rsid w:val="00F6704A"/>
    <w:rsid w:val="00F70F69"/>
    <w:rsid w:val="00F72455"/>
    <w:rsid w:val="00F817BF"/>
    <w:rsid w:val="00F94B05"/>
    <w:rsid w:val="00FA6AF0"/>
    <w:rsid w:val="00FD6AEE"/>
    <w:rsid w:val="00FE0F44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3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D72FD"/>
    <w:rPr>
      <w:color w:val="6B90B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3D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D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D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3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D72FD"/>
    <w:rPr>
      <w:color w:val="6B90B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3D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D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D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nod\AppData\Local\Microsoft\Windows\Temporary%20Internet%20Files\Content.Outlook\R3VUQBPK\daniela.nowak@tgw-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kirchmayr@tgw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0D97-7DFC-4B3C-8CBF-77A90C52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TGW Transportgeräte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</dc:creator>
  <cp:lastModifiedBy>nod</cp:lastModifiedBy>
  <cp:revision>2</cp:revision>
  <dcterms:created xsi:type="dcterms:W3CDTF">2014-10-23T05:36:00Z</dcterms:created>
  <dcterms:modified xsi:type="dcterms:W3CDTF">2014-10-23T05:36:00Z</dcterms:modified>
</cp:coreProperties>
</file>