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19" w:rsidRDefault="008B2419" w:rsidP="00B6049A">
      <w:pPr>
        <w:spacing w:line="360" w:lineRule="auto"/>
        <w:ind w:left="0" w:right="1126"/>
        <w:rPr>
          <w:rFonts w:cs="Arial"/>
          <w:b/>
          <w:sz w:val="28"/>
          <w:szCs w:val="28"/>
          <w:lang w:val="fr-FR" w:eastAsia="de-AT"/>
        </w:rPr>
      </w:pPr>
    </w:p>
    <w:p w:rsidR="008B2419" w:rsidRDefault="008B2419" w:rsidP="00B6049A">
      <w:pPr>
        <w:spacing w:line="360" w:lineRule="auto"/>
        <w:ind w:left="0" w:right="1126"/>
        <w:rPr>
          <w:rFonts w:cs="Arial"/>
          <w:b/>
          <w:sz w:val="28"/>
          <w:szCs w:val="28"/>
          <w:lang w:val="fr-FR" w:eastAsia="de-AT"/>
        </w:rPr>
      </w:pPr>
    </w:p>
    <w:p w:rsidR="000B735C" w:rsidRDefault="000B735C" w:rsidP="00B6049A">
      <w:pPr>
        <w:spacing w:line="360" w:lineRule="auto"/>
        <w:ind w:left="0" w:right="1126"/>
        <w:rPr>
          <w:rFonts w:cs="Arial"/>
          <w:b/>
          <w:sz w:val="28"/>
          <w:szCs w:val="28"/>
          <w:lang w:val="fr-FR" w:eastAsia="de-AT"/>
        </w:rPr>
      </w:pPr>
    </w:p>
    <w:p w:rsidR="009D56B1" w:rsidRDefault="009D56B1" w:rsidP="00B6049A">
      <w:pPr>
        <w:spacing w:line="360" w:lineRule="auto"/>
        <w:ind w:left="0" w:right="1126"/>
        <w:rPr>
          <w:rFonts w:cs="Arial"/>
          <w:b/>
          <w:sz w:val="28"/>
          <w:szCs w:val="28"/>
          <w:lang w:val="fr-FR" w:eastAsia="de-AT"/>
        </w:rPr>
      </w:pPr>
    </w:p>
    <w:p w:rsidR="001473B0" w:rsidRPr="001473B0" w:rsidRDefault="001473B0" w:rsidP="00B6049A">
      <w:pPr>
        <w:spacing w:line="360" w:lineRule="auto"/>
        <w:ind w:left="0" w:right="1126"/>
        <w:rPr>
          <w:rFonts w:cs="Arial"/>
          <w:b/>
          <w:sz w:val="28"/>
          <w:szCs w:val="28"/>
          <w:lang w:val="fr-FR" w:eastAsia="de-AT"/>
        </w:rPr>
      </w:pPr>
      <w:r w:rsidRPr="001473B0">
        <w:rPr>
          <w:rFonts w:cs="Arial"/>
          <w:b/>
          <w:sz w:val="28"/>
          <w:szCs w:val="28"/>
          <w:lang w:val="fr-FR" w:eastAsia="de-AT"/>
        </w:rPr>
        <w:t xml:space="preserve">TGW </w:t>
      </w:r>
      <w:r>
        <w:rPr>
          <w:rFonts w:cs="Arial"/>
          <w:b/>
          <w:sz w:val="28"/>
          <w:szCs w:val="28"/>
          <w:lang w:val="fr-FR" w:eastAsia="de-AT"/>
        </w:rPr>
        <w:t>installe</w:t>
      </w:r>
      <w:r w:rsidRPr="001473B0">
        <w:rPr>
          <w:rFonts w:cs="Arial"/>
          <w:b/>
          <w:sz w:val="28"/>
          <w:szCs w:val="28"/>
          <w:lang w:val="fr-FR" w:eastAsia="de-AT"/>
        </w:rPr>
        <w:t xml:space="preserve"> un système intralogistique pour le spécialiste des pièces détachées</w:t>
      </w:r>
      <w:r w:rsidR="00DC69CC">
        <w:rPr>
          <w:rFonts w:cs="Arial"/>
          <w:b/>
          <w:sz w:val="28"/>
          <w:szCs w:val="28"/>
          <w:lang w:val="fr-FR" w:eastAsia="de-AT"/>
        </w:rPr>
        <w:t xml:space="preserve"> automobiles</w:t>
      </w:r>
      <w:r w:rsidRPr="001473B0">
        <w:rPr>
          <w:rFonts w:cs="Arial"/>
          <w:b/>
          <w:sz w:val="28"/>
          <w:szCs w:val="28"/>
          <w:lang w:val="fr-FR" w:eastAsia="de-AT"/>
        </w:rPr>
        <w:t xml:space="preserve"> Fource</w:t>
      </w:r>
    </w:p>
    <w:p w:rsidR="001473B0" w:rsidRPr="009D56B1" w:rsidRDefault="00CE0E70" w:rsidP="00CE0E70">
      <w:pPr>
        <w:tabs>
          <w:tab w:val="left" w:pos="1720"/>
        </w:tabs>
        <w:spacing w:line="360" w:lineRule="auto"/>
        <w:ind w:left="0" w:right="1126"/>
        <w:rPr>
          <w:rFonts w:cs="Arial"/>
          <w:b/>
          <w:sz w:val="24"/>
          <w:szCs w:val="24"/>
          <w:lang w:val="fr-FR" w:eastAsia="de-AT"/>
        </w:rPr>
      </w:pPr>
      <w:r>
        <w:rPr>
          <w:rFonts w:cs="Arial"/>
          <w:b/>
          <w:sz w:val="24"/>
          <w:szCs w:val="24"/>
          <w:lang w:val="fr-FR" w:eastAsia="de-AT"/>
        </w:rPr>
        <w:tab/>
      </w:r>
    </w:p>
    <w:p w:rsidR="001473B0" w:rsidRPr="00B6049A" w:rsidRDefault="001473B0" w:rsidP="000B735C">
      <w:pPr>
        <w:pStyle w:val="Listenabsatz"/>
        <w:numPr>
          <w:ilvl w:val="0"/>
          <w:numId w:val="29"/>
        </w:numPr>
        <w:spacing w:line="360" w:lineRule="auto"/>
        <w:ind w:right="1126"/>
        <w:jc w:val="left"/>
        <w:rPr>
          <w:rFonts w:cs="Arial"/>
          <w:b/>
          <w:sz w:val="24"/>
          <w:szCs w:val="24"/>
          <w:lang w:val="fr-FR" w:eastAsia="de-AT"/>
        </w:rPr>
      </w:pPr>
      <w:r w:rsidRPr="00B6049A">
        <w:rPr>
          <w:rFonts w:cs="Arial"/>
          <w:b/>
          <w:sz w:val="24"/>
          <w:szCs w:val="24"/>
          <w:lang w:val="fr-FR" w:eastAsia="de-AT"/>
        </w:rPr>
        <w:t>La solution FlashPick</w:t>
      </w:r>
      <w:r w:rsidRPr="000B735C">
        <w:rPr>
          <w:rFonts w:cs="Arial"/>
          <w:b/>
          <w:sz w:val="24"/>
          <w:szCs w:val="24"/>
          <w:vertAlign w:val="superscript"/>
          <w:lang w:val="fr-FR" w:eastAsia="de-AT"/>
        </w:rPr>
        <w:t>®</w:t>
      </w:r>
      <w:r w:rsidRPr="00B6049A">
        <w:rPr>
          <w:rFonts w:cs="Arial"/>
          <w:b/>
          <w:sz w:val="24"/>
          <w:szCs w:val="24"/>
          <w:lang w:val="fr-FR" w:eastAsia="de-AT"/>
        </w:rPr>
        <w:t xml:space="preserve"> hautement automatisée avec plus de 180.000 d’emplacements de stockage</w:t>
      </w:r>
    </w:p>
    <w:p w:rsidR="001473B0" w:rsidRPr="00B6049A" w:rsidRDefault="001473B0" w:rsidP="000B735C">
      <w:pPr>
        <w:pStyle w:val="Listenabsatz"/>
        <w:numPr>
          <w:ilvl w:val="0"/>
          <w:numId w:val="29"/>
        </w:numPr>
        <w:spacing w:line="360" w:lineRule="auto"/>
        <w:ind w:right="1126"/>
        <w:jc w:val="left"/>
        <w:rPr>
          <w:rFonts w:cs="Arial"/>
          <w:b/>
          <w:sz w:val="24"/>
          <w:szCs w:val="24"/>
          <w:lang w:val="fr-FR" w:eastAsia="de-AT"/>
        </w:rPr>
      </w:pPr>
      <w:r w:rsidRPr="00B6049A">
        <w:rPr>
          <w:rFonts w:cs="Arial"/>
          <w:b/>
          <w:sz w:val="24"/>
          <w:szCs w:val="24"/>
          <w:lang w:val="fr-FR" w:eastAsia="de-AT"/>
        </w:rPr>
        <w:t xml:space="preserve">La suite logicielle TGW </w:t>
      </w:r>
      <w:r w:rsidR="00DC69CC" w:rsidRPr="00B6049A">
        <w:rPr>
          <w:rFonts w:cs="Arial"/>
          <w:b/>
          <w:sz w:val="24"/>
          <w:szCs w:val="24"/>
          <w:lang w:val="fr-FR" w:eastAsia="de-AT"/>
        </w:rPr>
        <w:t>en charge</w:t>
      </w:r>
      <w:r w:rsidRPr="00B6049A">
        <w:rPr>
          <w:rFonts w:cs="Arial"/>
          <w:b/>
          <w:sz w:val="24"/>
          <w:szCs w:val="24"/>
          <w:lang w:val="fr-FR" w:eastAsia="de-AT"/>
        </w:rPr>
        <w:t xml:space="preserve"> de la gestion d’entrepôt</w:t>
      </w:r>
    </w:p>
    <w:p w:rsidR="001473B0" w:rsidRPr="00B6049A" w:rsidRDefault="001473B0" w:rsidP="000B735C">
      <w:pPr>
        <w:pStyle w:val="Listenabsatz"/>
        <w:numPr>
          <w:ilvl w:val="0"/>
          <w:numId w:val="29"/>
        </w:numPr>
        <w:spacing w:line="360" w:lineRule="auto"/>
        <w:ind w:right="1126"/>
        <w:jc w:val="left"/>
        <w:rPr>
          <w:rFonts w:cs="Arial"/>
          <w:b/>
          <w:sz w:val="24"/>
          <w:szCs w:val="24"/>
          <w:lang w:val="fr-FR" w:eastAsia="de-AT"/>
        </w:rPr>
      </w:pPr>
      <w:r w:rsidRPr="00B6049A">
        <w:rPr>
          <w:rFonts w:cs="Arial"/>
          <w:b/>
          <w:sz w:val="24"/>
          <w:szCs w:val="24"/>
          <w:lang w:val="fr-FR" w:eastAsia="de-AT"/>
        </w:rPr>
        <w:t>Un contrat de 5 ans pour les services d’entretien et maintenance</w:t>
      </w:r>
    </w:p>
    <w:p w:rsidR="001473B0" w:rsidRPr="00B6049A" w:rsidRDefault="001473B0" w:rsidP="00B6049A">
      <w:pPr>
        <w:spacing w:line="360" w:lineRule="auto"/>
        <w:ind w:left="0" w:right="1126"/>
        <w:rPr>
          <w:rFonts w:cs="Arial"/>
          <w:b/>
          <w:sz w:val="24"/>
          <w:szCs w:val="24"/>
          <w:lang w:val="fr-FR" w:eastAsia="de-AT"/>
        </w:rPr>
      </w:pPr>
    </w:p>
    <w:p w:rsidR="001473B0" w:rsidRPr="00B6049A" w:rsidRDefault="001473B0" w:rsidP="00B6049A">
      <w:pPr>
        <w:spacing w:line="360" w:lineRule="auto"/>
        <w:ind w:left="0" w:right="1126"/>
        <w:rPr>
          <w:rFonts w:cs="Arial"/>
          <w:b/>
          <w:szCs w:val="20"/>
          <w:lang w:val="fr-FR" w:eastAsia="de-AT"/>
        </w:rPr>
      </w:pPr>
      <w:r w:rsidRPr="00B6049A">
        <w:rPr>
          <w:rFonts w:cs="Arial"/>
          <w:b/>
          <w:szCs w:val="20"/>
          <w:lang w:val="fr-FR" w:eastAsia="de-AT"/>
        </w:rPr>
        <w:t>TGW construit un système intralogistique hautement automatisé à Berkel en Rode</w:t>
      </w:r>
      <w:r w:rsidR="00341043">
        <w:rPr>
          <w:rFonts w:cs="Arial"/>
          <w:b/>
          <w:szCs w:val="20"/>
          <w:lang w:val="fr-FR" w:eastAsia="de-AT"/>
        </w:rPr>
        <w:t>n</w:t>
      </w:r>
      <w:r w:rsidRPr="00B6049A">
        <w:rPr>
          <w:rFonts w:cs="Arial"/>
          <w:b/>
          <w:szCs w:val="20"/>
          <w:lang w:val="fr-FR" w:eastAsia="de-AT"/>
        </w:rPr>
        <w:t>rijs pour Fource, un spécialiste des pièces détachées automobiles basé aux Pays-Bas. En réalisant ce projet, le client regroupe son intralogistique en un seul endroit et franchit une étape imp</w:t>
      </w:r>
      <w:r w:rsidR="00DC69CC" w:rsidRPr="00B6049A">
        <w:rPr>
          <w:rFonts w:cs="Arial"/>
          <w:b/>
          <w:szCs w:val="20"/>
          <w:lang w:val="fr-FR" w:eastAsia="de-AT"/>
        </w:rPr>
        <w:t>ortante dans l'optimisation de s</w:t>
      </w:r>
      <w:r w:rsidRPr="00B6049A">
        <w:rPr>
          <w:rFonts w:cs="Arial"/>
          <w:b/>
          <w:szCs w:val="20"/>
          <w:lang w:val="fr-FR" w:eastAsia="de-AT"/>
        </w:rPr>
        <w:t xml:space="preserve">a </w:t>
      </w:r>
      <w:r w:rsidR="00DC69CC" w:rsidRPr="00B6049A">
        <w:rPr>
          <w:rFonts w:cs="Arial"/>
          <w:b/>
          <w:szCs w:val="20"/>
          <w:lang w:val="fr-FR" w:eastAsia="de-AT"/>
        </w:rPr>
        <w:t>supply chain</w:t>
      </w:r>
      <w:r w:rsidRPr="00B6049A">
        <w:rPr>
          <w:rFonts w:cs="Arial"/>
          <w:b/>
          <w:szCs w:val="20"/>
          <w:lang w:val="fr-FR" w:eastAsia="de-AT"/>
        </w:rPr>
        <w:t>. En outre, c</w:t>
      </w:r>
      <w:r w:rsidR="00DC69CC" w:rsidRPr="00B6049A">
        <w:rPr>
          <w:rFonts w:cs="Arial"/>
          <w:b/>
          <w:szCs w:val="20"/>
          <w:lang w:val="fr-FR" w:eastAsia="de-AT"/>
        </w:rPr>
        <w:t>ette</w:t>
      </w:r>
      <w:bookmarkStart w:id="0" w:name="_GoBack"/>
      <w:bookmarkEnd w:id="0"/>
      <w:r w:rsidR="00DC69CC" w:rsidRPr="00B6049A">
        <w:rPr>
          <w:rFonts w:cs="Arial"/>
          <w:b/>
          <w:szCs w:val="20"/>
          <w:lang w:val="fr-FR" w:eastAsia="de-AT"/>
        </w:rPr>
        <w:t xml:space="preserve"> installation constitue </w:t>
      </w:r>
      <w:r w:rsidRPr="00B6049A">
        <w:rPr>
          <w:rFonts w:cs="Arial"/>
          <w:b/>
          <w:szCs w:val="20"/>
          <w:lang w:val="fr-FR" w:eastAsia="de-AT"/>
        </w:rPr>
        <w:t xml:space="preserve">la base </w:t>
      </w:r>
      <w:r w:rsidR="00DC69CC" w:rsidRPr="00B6049A">
        <w:rPr>
          <w:rFonts w:cs="Arial"/>
          <w:b/>
          <w:szCs w:val="20"/>
          <w:lang w:val="fr-FR" w:eastAsia="de-AT"/>
        </w:rPr>
        <w:t xml:space="preserve">nécessaire à </w:t>
      </w:r>
      <w:r w:rsidRPr="00B6049A">
        <w:rPr>
          <w:rFonts w:cs="Arial"/>
          <w:b/>
          <w:szCs w:val="20"/>
          <w:lang w:val="fr-FR" w:eastAsia="de-AT"/>
        </w:rPr>
        <w:t>la croissance prévue pour les prochaines années. La construction du bâtiment a débuté en décembre 2019, la solution FlashPick</w:t>
      </w:r>
      <w:r w:rsidRPr="000B735C">
        <w:rPr>
          <w:rFonts w:cs="Arial"/>
          <w:b/>
          <w:szCs w:val="20"/>
          <w:vertAlign w:val="superscript"/>
          <w:lang w:val="fr-FR" w:eastAsia="de-AT"/>
        </w:rPr>
        <w:t>®</w:t>
      </w:r>
      <w:r w:rsidRPr="00B6049A">
        <w:rPr>
          <w:rFonts w:cs="Arial"/>
          <w:b/>
          <w:szCs w:val="20"/>
          <w:lang w:val="fr-FR" w:eastAsia="de-AT"/>
        </w:rPr>
        <w:t xml:space="preserve"> devant être </w:t>
      </w:r>
      <w:r w:rsidR="00DC69CC" w:rsidRPr="00B6049A">
        <w:rPr>
          <w:rFonts w:cs="Arial"/>
          <w:b/>
          <w:szCs w:val="20"/>
          <w:lang w:val="fr-FR" w:eastAsia="de-AT"/>
        </w:rPr>
        <w:t>déployée</w:t>
      </w:r>
      <w:r w:rsidRPr="00B6049A">
        <w:rPr>
          <w:rFonts w:cs="Arial"/>
          <w:b/>
          <w:szCs w:val="20"/>
          <w:lang w:val="fr-FR" w:eastAsia="de-AT"/>
        </w:rPr>
        <w:t xml:space="preserve"> à l'automne 2021.</w:t>
      </w:r>
    </w:p>
    <w:p w:rsidR="001473B0" w:rsidRPr="001473B0" w:rsidRDefault="001473B0" w:rsidP="00B6049A">
      <w:pPr>
        <w:spacing w:line="360" w:lineRule="auto"/>
        <w:ind w:left="0" w:right="1126"/>
        <w:rPr>
          <w:rFonts w:cs="Arial"/>
          <w:szCs w:val="20"/>
          <w:lang w:val="fr-FR" w:eastAsia="de-AT"/>
        </w:rPr>
      </w:pPr>
    </w:p>
    <w:p w:rsidR="001473B0" w:rsidRPr="001473B0" w:rsidRDefault="001473B0" w:rsidP="00B6049A">
      <w:pPr>
        <w:spacing w:line="360" w:lineRule="auto"/>
        <w:ind w:left="0" w:right="1126"/>
        <w:rPr>
          <w:rFonts w:cs="Arial"/>
          <w:szCs w:val="20"/>
          <w:lang w:val="fr-FR" w:eastAsia="de-AT"/>
        </w:rPr>
      </w:pPr>
      <w:r w:rsidRPr="001473B0">
        <w:rPr>
          <w:rFonts w:cs="Arial"/>
          <w:szCs w:val="20"/>
          <w:lang w:val="fr-FR" w:eastAsia="de-AT"/>
        </w:rPr>
        <w:t xml:space="preserve">Fource fait partie du groupe américain LKQ et vend des pièces de rechange, des outils et des composants automobiles par l'intermédiaire d'un réseau de grossistes. Les principaux marchés de l'entreprise, qui compte 3 </w:t>
      </w:r>
      <w:r w:rsidR="000B735C">
        <w:rPr>
          <w:rFonts w:cs="Arial"/>
          <w:szCs w:val="20"/>
          <w:lang w:val="fr-FR" w:eastAsia="de-AT"/>
        </w:rPr>
        <w:t>0</w:t>
      </w:r>
      <w:r w:rsidR="00563E18">
        <w:rPr>
          <w:rFonts w:cs="Arial"/>
          <w:szCs w:val="20"/>
          <w:lang w:val="fr-FR" w:eastAsia="de-AT"/>
        </w:rPr>
        <w:t>00 employés, sont les Pays-Bas et</w:t>
      </w:r>
      <w:r w:rsidRPr="001473B0">
        <w:rPr>
          <w:rFonts w:cs="Arial"/>
          <w:szCs w:val="20"/>
          <w:lang w:val="fr-FR" w:eastAsia="de-AT"/>
        </w:rPr>
        <w:t xml:space="preserve"> la Belgique. Récemment, le spécialiste des pièces détachées a passé une commande à TGW pour la mise en place d'un système intralogistique pour sa </w:t>
      </w:r>
      <w:r w:rsidR="00DC69CC">
        <w:rPr>
          <w:rFonts w:cs="Arial"/>
          <w:szCs w:val="20"/>
          <w:lang w:val="fr-FR" w:eastAsia="de-AT"/>
        </w:rPr>
        <w:t>nouvelle plate-forme logistique</w:t>
      </w:r>
      <w:r w:rsidRPr="001473B0">
        <w:rPr>
          <w:rFonts w:cs="Arial"/>
          <w:szCs w:val="20"/>
          <w:lang w:val="fr-FR" w:eastAsia="de-AT"/>
        </w:rPr>
        <w:t xml:space="preserve">. </w:t>
      </w:r>
      <w:r w:rsidR="00A04597" w:rsidRPr="00A04597">
        <w:rPr>
          <w:rFonts w:eastAsia="Times New Roman" w:cs="Arial"/>
          <w:szCs w:val="20"/>
          <w:lang w:val="fr-FR"/>
        </w:rPr>
        <w:t>„</w:t>
      </w:r>
      <w:r w:rsidRPr="001473B0">
        <w:rPr>
          <w:rFonts w:cs="Arial"/>
          <w:szCs w:val="20"/>
          <w:lang w:val="fr-FR" w:eastAsia="de-AT"/>
        </w:rPr>
        <w:t>C'est une commande importante et une référence fantastique en matière de pièces et de composants pour TGW</w:t>
      </w:r>
      <w:r w:rsidR="00A04597" w:rsidRPr="00A04597">
        <w:rPr>
          <w:rFonts w:eastAsia="Times New Roman" w:cs="Arial"/>
          <w:szCs w:val="20"/>
          <w:lang w:val="fr-FR"/>
        </w:rPr>
        <w:t>“</w:t>
      </w:r>
      <w:r w:rsidRPr="001473B0">
        <w:rPr>
          <w:rFonts w:cs="Arial"/>
          <w:szCs w:val="20"/>
          <w:lang w:val="fr-FR" w:eastAsia="de-AT"/>
        </w:rPr>
        <w:t>, souligne David Hibb</w:t>
      </w:r>
      <w:r w:rsidR="00A04597">
        <w:rPr>
          <w:rFonts w:cs="Arial"/>
          <w:szCs w:val="20"/>
          <w:lang w:val="fr-FR" w:eastAsia="de-AT"/>
        </w:rPr>
        <w:t>ett, CSO de TGW Europe du Nord.</w:t>
      </w:r>
    </w:p>
    <w:p w:rsidR="001473B0" w:rsidRPr="009D56B1" w:rsidRDefault="001473B0" w:rsidP="00B6049A">
      <w:pPr>
        <w:spacing w:line="360" w:lineRule="auto"/>
        <w:ind w:left="0" w:right="1126"/>
        <w:rPr>
          <w:rFonts w:cs="Arial"/>
          <w:b/>
          <w:szCs w:val="20"/>
          <w:lang w:val="fr-FR" w:eastAsia="de-AT"/>
        </w:rPr>
      </w:pPr>
    </w:p>
    <w:p w:rsidR="001473B0" w:rsidRPr="001473B0" w:rsidRDefault="001473B0" w:rsidP="00B6049A">
      <w:pPr>
        <w:spacing w:line="360" w:lineRule="auto"/>
        <w:ind w:left="0" w:right="1126"/>
        <w:rPr>
          <w:rFonts w:cs="Arial"/>
          <w:b/>
          <w:szCs w:val="20"/>
          <w:lang w:val="fr-FR" w:eastAsia="de-AT"/>
        </w:rPr>
      </w:pPr>
      <w:r w:rsidRPr="001473B0">
        <w:rPr>
          <w:rFonts w:cs="Arial"/>
          <w:b/>
          <w:szCs w:val="20"/>
          <w:lang w:val="fr-FR" w:eastAsia="de-AT"/>
        </w:rPr>
        <w:t xml:space="preserve">Une </w:t>
      </w:r>
      <w:r w:rsidR="0042401F">
        <w:rPr>
          <w:rFonts w:cs="Arial"/>
          <w:b/>
          <w:szCs w:val="20"/>
          <w:lang w:val="fr-FR" w:eastAsia="de-AT"/>
        </w:rPr>
        <w:t>supply chain</w:t>
      </w:r>
      <w:r w:rsidRPr="001473B0">
        <w:rPr>
          <w:rFonts w:cs="Arial"/>
          <w:b/>
          <w:szCs w:val="20"/>
          <w:lang w:val="fr-FR" w:eastAsia="de-AT"/>
        </w:rPr>
        <w:t xml:space="preserve"> optimisée</w:t>
      </w:r>
    </w:p>
    <w:p w:rsidR="001473B0" w:rsidRPr="009D56B1" w:rsidRDefault="001473B0" w:rsidP="00B6049A">
      <w:pPr>
        <w:spacing w:line="360" w:lineRule="auto"/>
        <w:ind w:left="0" w:right="1126"/>
        <w:rPr>
          <w:rFonts w:cs="Arial"/>
          <w:b/>
          <w:szCs w:val="20"/>
          <w:lang w:val="fr-FR" w:eastAsia="de-AT"/>
        </w:rPr>
      </w:pPr>
    </w:p>
    <w:p w:rsidR="001473B0" w:rsidRDefault="001473B0" w:rsidP="00B6049A">
      <w:pPr>
        <w:spacing w:line="360" w:lineRule="auto"/>
        <w:ind w:left="0" w:right="1126"/>
        <w:rPr>
          <w:rFonts w:cs="Arial"/>
          <w:szCs w:val="20"/>
          <w:lang w:val="fr-FR" w:eastAsia="de-AT"/>
        </w:rPr>
      </w:pPr>
      <w:r w:rsidRPr="001473B0">
        <w:rPr>
          <w:rFonts w:cs="Arial"/>
          <w:szCs w:val="20"/>
          <w:lang w:val="fr-FR" w:eastAsia="de-AT"/>
        </w:rPr>
        <w:t xml:space="preserve">Le nouveau bâtiment, d'une superficie de 50 000 m², </w:t>
      </w:r>
      <w:proofErr w:type="gramStart"/>
      <w:r w:rsidRPr="001473B0">
        <w:rPr>
          <w:rFonts w:cs="Arial"/>
          <w:szCs w:val="20"/>
          <w:lang w:val="fr-FR" w:eastAsia="de-AT"/>
        </w:rPr>
        <w:t>regroupe en</w:t>
      </w:r>
      <w:proofErr w:type="gramEnd"/>
      <w:r w:rsidRPr="001473B0">
        <w:rPr>
          <w:rFonts w:cs="Arial"/>
          <w:szCs w:val="20"/>
          <w:lang w:val="fr-FR" w:eastAsia="de-AT"/>
        </w:rPr>
        <w:t xml:space="preserve"> un seul lieu l'ensemble des opérations logistiques de Fource pour les Pays-Bas. En raison de son architecture spectaculaire, le centre d</w:t>
      </w:r>
      <w:r w:rsidR="00DC69CC">
        <w:rPr>
          <w:rFonts w:cs="Arial"/>
          <w:szCs w:val="20"/>
          <w:lang w:val="fr-FR" w:eastAsia="de-AT"/>
        </w:rPr>
        <w:t>e préparation</w:t>
      </w:r>
      <w:r w:rsidRPr="001473B0">
        <w:rPr>
          <w:rFonts w:cs="Arial"/>
          <w:szCs w:val="20"/>
          <w:lang w:val="fr-FR" w:eastAsia="de-AT"/>
        </w:rPr>
        <w:t xml:space="preserve"> est appelé </w:t>
      </w:r>
      <w:r w:rsidR="00A04597" w:rsidRPr="00A04597">
        <w:rPr>
          <w:rFonts w:eastAsia="Times New Roman" w:cs="Arial"/>
          <w:szCs w:val="20"/>
          <w:lang w:val="fr-FR"/>
        </w:rPr>
        <w:t>„</w:t>
      </w:r>
      <w:r w:rsidRPr="001473B0">
        <w:rPr>
          <w:rFonts w:cs="Arial"/>
          <w:szCs w:val="20"/>
          <w:lang w:val="fr-FR" w:eastAsia="de-AT"/>
        </w:rPr>
        <w:t>The Bridge</w:t>
      </w:r>
      <w:r w:rsidR="00A04597" w:rsidRPr="00A04597">
        <w:rPr>
          <w:rFonts w:eastAsia="Times New Roman" w:cs="Arial"/>
          <w:szCs w:val="20"/>
          <w:lang w:val="fr-FR"/>
        </w:rPr>
        <w:t>“</w:t>
      </w:r>
      <w:r w:rsidRPr="001473B0">
        <w:rPr>
          <w:rFonts w:cs="Arial"/>
          <w:szCs w:val="20"/>
          <w:lang w:val="fr-FR" w:eastAsia="de-AT"/>
        </w:rPr>
        <w:t>, et est un symbole de la combinaison des personnes et de la technologie.</w:t>
      </w:r>
    </w:p>
    <w:p w:rsidR="00D151F3" w:rsidRDefault="00D151F3" w:rsidP="00B6049A">
      <w:pPr>
        <w:spacing w:line="360" w:lineRule="auto"/>
        <w:ind w:left="0" w:right="1126"/>
        <w:rPr>
          <w:rFonts w:cs="Arial"/>
          <w:szCs w:val="20"/>
          <w:lang w:val="fr-FR" w:eastAsia="de-AT"/>
        </w:rPr>
      </w:pPr>
    </w:p>
    <w:p w:rsidR="001473B0" w:rsidRDefault="0042401F" w:rsidP="00B6049A">
      <w:pPr>
        <w:spacing w:line="360" w:lineRule="auto"/>
        <w:ind w:left="0" w:right="1126"/>
        <w:rPr>
          <w:rFonts w:cs="Arial"/>
          <w:b/>
          <w:szCs w:val="20"/>
          <w:lang w:val="fr-FR" w:eastAsia="de-AT"/>
        </w:rPr>
      </w:pPr>
      <w:r>
        <w:rPr>
          <w:rFonts w:cs="Arial"/>
          <w:b/>
          <w:szCs w:val="20"/>
          <w:lang w:val="fr-FR" w:eastAsia="de-AT"/>
        </w:rPr>
        <w:lastRenderedPageBreak/>
        <w:t>Puissance</w:t>
      </w:r>
      <w:r w:rsidR="001473B0" w:rsidRPr="00DC69CC">
        <w:rPr>
          <w:rFonts w:cs="Arial"/>
          <w:b/>
          <w:szCs w:val="20"/>
          <w:lang w:val="fr-FR" w:eastAsia="de-AT"/>
        </w:rPr>
        <w:t xml:space="preserve"> et flexib</w:t>
      </w:r>
      <w:r>
        <w:rPr>
          <w:rFonts w:cs="Arial"/>
          <w:b/>
          <w:szCs w:val="20"/>
          <w:lang w:val="fr-FR" w:eastAsia="de-AT"/>
        </w:rPr>
        <w:t>ilité</w:t>
      </w:r>
    </w:p>
    <w:p w:rsidR="0042401F" w:rsidRPr="001473B0" w:rsidRDefault="0042401F" w:rsidP="00B6049A">
      <w:pPr>
        <w:spacing w:line="360" w:lineRule="auto"/>
        <w:ind w:left="0" w:right="1126"/>
        <w:rPr>
          <w:rFonts w:cs="Arial"/>
          <w:szCs w:val="20"/>
          <w:lang w:val="fr-FR" w:eastAsia="de-AT"/>
        </w:rPr>
      </w:pPr>
    </w:p>
    <w:p w:rsidR="001473B0" w:rsidRPr="001473B0" w:rsidRDefault="001473B0" w:rsidP="00B6049A">
      <w:pPr>
        <w:spacing w:line="360" w:lineRule="auto"/>
        <w:ind w:left="0" w:right="1126"/>
        <w:rPr>
          <w:rFonts w:cs="Arial"/>
          <w:szCs w:val="20"/>
          <w:lang w:val="fr-FR" w:eastAsia="de-AT"/>
        </w:rPr>
      </w:pPr>
      <w:r w:rsidRPr="001473B0">
        <w:rPr>
          <w:rFonts w:cs="Arial"/>
          <w:szCs w:val="20"/>
          <w:lang w:val="fr-FR" w:eastAsia="de-AT"/>
        </w:rPr>
        <w:t>FlashPick</w:t>
      </w:r>
      <w:r w:rsidRPr="000B735C">
        <w:rPr>
          <w:rFonts w:cs="Arial"/>
          <w:szCs w:val="20"/>
          <w:vertAlign w:val="superscript"/>
          <w:lang w:val="fr-FR" w:eastAsia="de-AT"/>
        </w:rPr>
        <w:t>®</w:t>
      </w:r>
      <w:r w:rsidRPr="001473B0">
        <w:rPr>
          <w:rFonts w:cs="Arial"/>
          <w:szCs w:val="20"/>
          <w:lang w:val="fr-FR" w:eastAsia="de-AT"/>
        </w:rPr>
        <w:t xml:space="preserve"> est le cœur de cette </w:t>
      </w:r>
      <w:r w:rsidR="00E709AD">
        <w:rPr>
          <w:rFonts w:cs="Arial"/>
          <w:szCs w:val="20"/>
          <w:lang w:val="fr-FR" w:eastAsia="de-AT"/>
        </w:rPr>
        <w:t xml:space="preserve">solution hautement automatisée – avec </w:t>
      </w:r>
      <w:r w:rsidRPr="001473B0">
        <w:rPr>
          <w:rFonts w:cs="Arial"/>
          <w:szCs w:val="20"/>
          <w:lang w:val="fr-FR" w:eastAsia="de-AT"/>
        </w:rPr>
        <w:t xml:space="preserve">dix allées et plus de 180 000 emplacements de stockage. Quelque 200 navettes Stingray à haut rendement énergétique assurent le stockage et la récupération. En combinaison avec douze postes de travail de réception des marchandises et seize postes de </w:t>
      </w:r>
      <w:r w:rsidR="0042401F">
        <w:rPr>
          <w:rFonts w:cs="Arial"/>
          <w:szCs w:val="20"/>
          <w:lang w:val="fr-FR" w:eastAsia="de-AT"/>
        </w:rPr>
        <w:t xml:space="preserve">préparation de commandes </w:t>
      </w:r>
      <w:r w:rsidRPr="001473B0">
        <w:rPr>
          <w:rFonts w:cs="Arial"/>
          <w:szCs w:val="20"/>
          <w:lang w:val="fr-FR" w:eastAsia="de-AT"/>
        </w:rPr>
        <w:t>haute</w:t>
      </w:r>
      <w:r w:rsidR="0042401F">
        <w:rPr>
          <w:rFonts w:cs="Arial"/>
          <w:szCs w:val="20"/>
          <w:lang w:val="fr-FR" w:eastAsia="de-AT"/>
        </w:rPr>
        <w:t>s</w:t>
      </w:r>
      <w:r w:rsidRPr="001473B0">
        <w:rPr>
          <w:rFonts w:cs="Arial"/>
          <w:szCs w:val="20"/>
          <w:lang w:val="fr-FR" w:eastAsia="de-AT"/>
        </w:rPr>
        <w:t xml:space="preserve"> performance</w:t>
      </w:r>
      <w:r w:rsidR="0042401F">
        <w:rPr>
          <w:rFonts w:cs="Arial"/>
          <w:szCs w:val="20"/>
          <w:lang w:val="fr-FR" w:eastAsia="de-AT"/>
        </w:rPr>
        <w:t>s</w:t>
      </w:r>
      <w:r w:rsidRPr="001473B0">
        <w:rPr>
          <w:rFonts w:cs="Arial"/>
          <w:szCs w:val="20"/>
          <w:lang w:val="fr-FR" w:eastAsia="de-AT"/>
        </w:rPr>
        <w:t xml:space="preserve"> PickCenter One, le système </w:t>
      </w:r>
      <w:r w:rsidR="0042401F">
        <w:rPr>
          <w:rFonts w:cs="Arial"/>
          <w:szCs w:val="20"/>
          <w:lang w:val="fr-FR" w:eastAsia="de-AT"/>
        </w:rPr>
        <w:t>shuttle</w:t>
      </w:r>
      <w:r w:rsidRPr="001473B0">
        <w:rPr>
          <w:rFonts w:cs="Arial"/>
          <w:szCs w:val="20"/>
          <w:lang w:val="fr-FR" w:eastAsia="de-AT"/>
        </w:rPr>
        <w:t xml:space="preserve"> est la pièce maîtresse du système.</w:t>
      </w:r>
    </w:p>
    <w:p w:rsidR="001473B0" w:rsidRPr="001473B0" w:rsidRDefault="001473B0" w:rsidP="00B6049A">
      <w:pPr>
        <w:spacing w:line="360" w:lineRule="auto"/>
        <w:ind w:left="0" w:right="1126"/>
        <w:rPr>
          <w:rFonts w:cs="Arial"/>
          <w:szCs w:val="20"/>
          <w:lang w:val="fr-FR" w:eastAsia="de-AT"/>
        </w:rPr>
      </w:pPr>
    </w:p>
    <w:p w:rsidR="001473B0" w:rsidRPr="001473B0" w:rsidRDefault="001473B0" w:rsidP="00B6049A">
      <w:pPr>
        <w:spacing w:line="360" w:lineRule="auto"/>
        <w:ind w:left="0" w:right="1126"/>
        <w:rPr>
          <w:rFonts w:cs="Arial"/>
          <w:szCs w:val="20"/>
          <w:lang w:val="fr-FR" w:eastAsia="de-AT"/>
        </w:rPr>
      </w:pPr>
      <w:r w:rsidRPr="001473B0">
        <w:rPr>
          <w:rFonts w:cs="Arial"/>
          <w:szCs w:val="20"/>
          <w:lang w:val="fr-FR" w:eastAsia="de-AT"/>
        </w:rPr>
        <w:t xml:space="preserve">La suite logicielle TGW est responsable </w:t>
      </w:r>
      <w:r w:rsidR="00DF78AA">
        <w:rPr>
          <w:rFonts w:cs="Arial"/>
          <w:szCs w:val="20"/>
          <w:lang w:val="fr-FR" w:eastAsia="de-AT"/>
        </w:rPr>
        <w:t>du WMS ainsi que</w:t>
      </w:r>
      <w:r w:rsidRPr="001473B0">
        <w:rPr>
          <w:rFonts w:cs="Arial"/>
          <w:szCs w:val="20"/>
          <w:lang w:val="fr-FR" w:eastAsia="de-AT"/>
        </w:rPr>
        <w:t xml:space="preserve"> </w:t>
      </w:r>
      <w:r w:rsidR="00DF78AA">
        <w:rPr>
          <w:rFonts w:cs="Arial"/>
          <w:szCs w:val="20"/>
          <w:lang w:val="fr-FR" w:eastAsia="de-AT"/>
        </w:rPr>
        <w:t>du WCS</w:t>
      </w:r>
      <w:r w:rsidRPr="001473B0">
        <w:rPr>
          <w:rFonts w:cs="Arial"/>
          <w:szCs w:val="20"/>
          <w:lang w:val="fr-FR" w:eastAsia="de-AT"/>
        </w:rPr>
        <w:t xml:space="preserve"> </w:t>
      </w:r>
      <w:r w:rsidR="00DF78AA">
        <w:rPr>
          <w:rFonts w:cs="Arial"/>
          <w:szCs w:val="20"/>
          <w:lang w:val="fr-FR" w:eastAsia="de-AT"/>
        </w:rPr>
        <w:t>ainsi que du</w:t>
      </w:r>
      <w:r w:rsidRPr="001473B0">
        <w:rPr>
          <w:rFonts w:cs="Arial"/>
          <w:szCs w:val="20"/>
          <w:lang w:val="fr-FR" w:eastAsia="de-AT"/>
        </w:rPr>
        <w:t xml:space="preserve"> contrôle de flux de </w:t>
      </w:r>
      <w:r w:rsidR="00DF78AA">
        <w:rPr>
          <w:rFonts w:cs="Arial"/>
          <w:szCs w:val="20"/>
          <w:lang w:val="fr-FR" w:eastAsia="de-AT"/>
        </w:rPr>
        <w:t>produits</w:t>
      </w:r>
      <w:r w:rsidRPr="001473B0">
        <w:rPr>
          <w:rFonts w:cs="Arial"/>
          <w:szCs w:val="20"/>
          <w:lang w:val="fr-FR" w:eastAsia="de-AT"/>
        </w:rPr>
        <w:t xml:space="preserve"> (MFC). TGW </w:t>
      </w:r>
      <w:r w:rsidR="00DF78AA">
        <w:rPr>
          <w:rFonts w:cs="Arial"/>
          <w:szCs w:val="20"/>
          <w:lang w:val="fr-FR" w:eastAsia="de-AT"/>
        </w:rPr>
        <w:t xml:space="preserve">Commander </w:t>
      </w:r>
      <w:r w:rsidRPr="001473B0">
        <w:rPr>
          <w:rFonts w:cs="Arial"/>
          <w:szCs w:val="20"/>
          <w:lang w:val="fr-FR" w:eastAsia="de-AT"/>
        </w:rPr>
        <w:t xml:space="preserve">est responsable du système de </w:t>
      </w:r>
      <w:r w:rsidR="0042401F">
        <w:rPr>
          <w:rFonts w:cs="Arial"/>
          <w:szCs w:val="20"/>
          <w:lang w:val="fr-FR" w:eastAsia="de-AT"/>
        </w:rPr>
        <w:t>pilotage</w:t>
      </w:r>
      <w:r w:rsidRPr="001473B0">
        <w:rPr>
          <w:rFonts w:cs="Arial"/>
          <w:szCs w:val="20"/>
          <w:lang w:val="fr-FR" w:eastAsia="de-AT"/>
        </w:rPr>
        <w:t>. Des machines spéciales pour l</w:t>
      </w:r>
      <w:r w:rsidR="0042401F">
        <w:rPr>
          <w:rFonts w:cs="Arial"/>
          <w:szCs w:val="20"/>
          <w:lang w:val="fr-FR" w:eastAsia="de-AT"/>
        </w:rPr>
        <w:t xml:space="preserve">e placement </w:t>
      </w:r>
      <w:r w:rsidRPr="001473B0">
        <w:rPr>
          <w:rFonts w:cs="Arial"/>
          <w:szCs w:val="20"/>
          <w:lang w:val="fr-FR" w:eastAsia="de-AT"/>
        </w:rPr>
        <w:t>et la fermeture automatique des cartons, des gerbeurs et des élé</w:t>
      </w:r>
      <w:r w:rsidR="0042401F">
        <w:rPr>
          <w:rFonts w:cs="Arial"/>
          <w:szCs w:val="20"/>
          <w:lang w:val="fr-FR" w:eastAsia="de-AT"/>
        </w:rPr>
        <w:t>vateurs font également partie du périmètre</w:t>
      </w:r>
      <w:r w:rsidRPr="001473B0">
        <w:rPr>
          <w:rFonts w:cs="Arial"/>
          <w:szCs w:val="20"/>
          <w:lang w:val="fr-FR" w:eastAsia="de-AT"/>
        </w:rPr>
        <w:t xml:space="preserve"> </w:t>
      </w:r>
      <w:r w:rsidR="0042401F">
        <w:rPr>
          <w:rFonts w:cs="Arial"/>
          <w:szCs w:val="20"/>
          <w:lang w:val="fr-FR" w:eastAsia="de-AT"/>
        </w:rPr>
        <w:t>de</w:t>
      </w:r>
      <w:r w:rsidRPr="001473B0">
        <w:rPr>
          <w:rFonts w:cs="Arial"/>
          <w:szCs w:val="20"/>
          <w:lang w:val="fr-FR" w:eastAsia="de-AT"/>
        </w:rPr>
        <w:t xml:space="preserve"> fourniture.</w:t>
      </w:r>
    </w:p>
    <w:p w:rsidR="001473B0" w:rsidRPr="009D56B1" w:rsidRDefault="001473B0" w:rsidP="00B6049A">
      <w:pPr>
        <w:spacing w:line="360" w:lineRule="auto"/>
        <w:ind w:left="0" w:right="1126"/>
        <w:rPr>
          <w:rFonts w:cs="Arial"/>
          <w:b/>
          <w:szCs w:val="20"/>
          <w:lang w:val="fr-FR" w:eastAsia="de-AT"/>
        </w:rPr>
      </w:pPr>
    </w:p>
    <w:p w:rsidR="001473B0" w:rsidRPr="001473B0" w:rsidRDefault="001473B0" w:rsidP="00B6049A">
      <w:pPr>
        <w:spacing w:line="360" w:lineRule="auto"/>
        <w:ind w:left="0" w:right="1126"/>
        <w:rPr>
          <w:rFonts w:cs="Arial"/>
          <w:b/>
          <w:szCs w:val="20"/>
          <w:lang w:val="fr-FR" w:eastAsia="de-AT"/>
        </w:rPr>
      </w:pPr>
      <w:r w:rsidRPr="001473B0">
        <w:rPr>
          <w:rFonts w:cs="Arial"/>
          <w:b/>
          <w:szCs w:val="20"/>
          <w:lang w:val="fr-FR" w:eastAsia="de-AT"/>
        </w:rPr>
        <w:t xml:space="preserve">Services </w:t>
      </w:r>
      <w:r w:rsidR="0042401F">
        <w:rPr>
          <w:rFonts w:cs="Arial"/>
          <w:b/>
          <w:szCs w:val="20"/>
          <w:lang w:val="fr-FR" w:eastAsia="de-AT"/>
        </w:rPr>
        <w:t>d’entretien et de maintenance</w:t>
      </w:r>
    </w:p>
    <w:p w:rsidR="001473B0" w:rsidRPr="009D56B1" w:rsidRDefault="001473B0" w:rsidP="00B6049A">
      <w:pPr>
        <w:spacing w:line="360" w:lineRule="auto"/>
        <w:ind w:left="0" w:right="1126"/>
        <w:rPr>
          <w:rFonts w:cs="Arial"/>
          <w:b/>
          <w:szCs w:val="20"/>
          <w:lang w:val="fr-FR" w:eastAsia="de-AT"/>
        </w:rPr>
      </w:pPr>
    </w:p>
    <w:p w:rsidR="005E362F" w:rsidRPr="001473B0" w:rsidRDefault="0042401F" w:rsidP="00B6049A">
      <w:pPr>
        <w:spacing w:line="360" w:lineRule="auto"/>
        <w:ind w:left="0" w:right="1126"/>
        <w:rPr>
          <w:rFonts w:cs="Arial"/>
          <w:szCs w:val="20"/>
          <w:lang w:val="fr-FR" w:eastAsia="de-AT"/>
        </w:rPr>
      </w:pPr>
      <w:r>
        <w:rPr>
          <w:rFonts w:cs="Arial"/>
          <w:szCs w:val="20"/>
          <w:lang w:val="fr-FR" w:eastAsia="de-AT"/>
        </w:rPr>
        <w:t>Durant l’exploitation du système</w:t>
      </w:r>
      <w:r w:rsidR="001473B0" w:rsidRPr="001473B0">
        <w:rPr>
          <w:rFonts w:cs="Arial"/>
          <w:szCs w:val="20"/>
          <w:lang w:val="fr-FR" w:eastAsia="de-AT"/>
        </w:rPr>
        <w:t>, Fource pourra s'appuyer sur l'expertise de TGW. Une équipe de spécialistes de Lifetime Services travaille</w:t>
      </w:r>
      <w:r>
        <w:rPr>
          <w:rFonts w:cs="Arial"/>
          <w:szCs w:val="20"/>
          <w:lang w:val="fr-FR" w:eastAsia="de-AT"/>
        </w:rPr>
        <w:t>ra</w:t>
      </w:r>
      <w:r w:rsidR="001473B0" w:rsidRPr="001473B0">
        <w:rPr>
          <w:rFonts w:cs="Arial"/>
          <w:szCs w:val="20"/>
          <w:lang w:val="fr-FR" w:eastAsia="de-AT"/>
        </w:rPr>
        <w:t xml:space="preserve"> en collaboration avec les techniciens du client pour assurer une disponibilité maximale</w:t>
      </w:r>
      <w:r>
        <w:rPr>
          <w:rFonts w:cs="Arial"/>
          <w:szCs w:val="20"/>
          <w:lang w:val="fr-FR" w:eastAsia="de-AT"/>
        </w:rPr>
        <w:t xml:space="preserve"> de l’installation</w:t>
      </w:r>
      <w:r w:rsidR="001473B0" w:rsidRPr="001473B0">
        <w:rPr>
          <w:rFonts w:cs="Arial"/>
          <w:szCs w:val="20"/>
          <w:lang w:val="fr-FR" w:eastAsia="de-AT"/>
        </w:rPr>
        <w:t>.</w:t>
      </w:r>
    </w:p>
    <w:p w:rsidR="001473B0" w:rsidRDefault="001473B0"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8B2419" w:rsidRDefault="008B2419" w:rsidP="00B6049A">
      <w:pPr>
        <w:spacing w:line="360" w:lineRule="auto"/>
        <w:ind w:left="0" w:right="276"/>
        <w:rPr>
          <w:rFonts w:cs="Arial"/>
          <w:b/>
          <w:sz w:val="28"/>
          <w:szCs w:val="28"/>
          <w:lang w:val="fr-FR" w:eastAsia="de-AT"/>
        </w:rPr>
      </w:pPr>
    </w:p>
    <w:p w:rsidR="00560A7A" w:rsidRPr="00EC6AA7" w:rsidRDefault="00341043" w:rsidP="00B6049A">
      <w:pPr>
        <w:spacing w:line="360" w:lineRule="auto"/>
        <w:ind w:left="0" w:right="276"/>
        <w:rPr>
          <w:rStyle w:val="Hyperlink"/>
          <w:rFonts w:cs="Arial"/>
          <w:color w:val="auto"/>
          <w:u w:val="none"/>
          <w:lang w:val="fr-FR"/>
        </w:rPr>
      </w:pPr>
      <w:hyperlink r:id="rId8" w:history="1">
        <w:r w:rsidR="00560A7A" w:rsidRPr="00EC6AA7">
          <w:rPr>
            <w:rStyle w:val="Hyperlink"/>
            <w:rFonts w:cs="Arial"/>
            <w:lang w:val="fr-FR"/>
          </w:rPr>
          <w:t>www.tgw-group.com</w:t>
        </w:r>
      </w:hyperlink>
      <w:r w:rsidR="00560A7A" w:rsidRPr="00EC6AA7">
        <w:rPr>
          <w:rStyle w:val="Hyperlink"/>
          <w:rFonts w:cs="Arial"/>
          <w:color w:val="auto"/>
          <w:u w:val="none"/>
          <w:lang w:val="fr-FR"/>
        </w:rPr>
        <w:br/>
      </w:r>
    </w:p>
    <w:p w:rsidR="008B2419" w:rsidRDefault="008B2419"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157990">
      <w:pPr>
        <w:pStyle w:val="StandardWeb"/>
        <w:shd w:val="clear" w:color="auto" w:fill="FFFFFF"/>
        <w:spacing w:before="0" w:beforeAutospacing="0" w:after="0" w:afterAutospacing="0"/>
        <w:ind w:right="276"/>
        <w:jc w:val="both"/>
        <w:rPr>
          <w:rFonts w:ascii="Arial" w:hAnsi="Arial" w:cs="Arial"/>
          <w:sz w:val="20"/>
          <w:szCs w:val="20"/>
          <w:lang w:val="fr-FR"/>
        </w:rPr>
      </w:pPr>
      <w:r w:rsidRPr="00EF3956">
        <w:rPr>
          <w:rFonts w:ascii="Arial" w:hAnsi="Arial" w:cs="Arial"/>
          <w:b/>
          <w:sz w:val="20"/>
          <w:szCs w:val="20"/>
          <w:lang w:val="fr-FR"/>
        </w:rPr>
        <w:lastRenderedPageBreak/>
        <w:t>A propos de TGW Logistics Group:</w:t>
      </w:r>
    </w:p>
    <w:p w:rsidR="00167C23" w:rsidRDefault="00167C23" w:rsidP="00157990">
      <w:pPr>
        <w:shd w:val="clear" w:color="auto" w:fill="FFFFFF"/>
        <w:spacing w:line="240" w:lineRule="auto"/>
        <w:ind w:left="0" w:right="112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8B2419" w:rsidRPr="00EF3956" w:rsidRDefault="008B2419" w:rsidP="00157990">
      <w:pPr>
        <w:shd w:val="clear" w:color="auto" w:fill="FFFFFF"/>
        <w:spacing w:line="240" w:lineRule="auto"/>
        <w:ind w:left="0" w:right="1126"/>
        <w:rPr>
          <w:rFonts w:eastAsia="Times New Roman" w:cs="Arial"/>
          <w:szCs w:val="20"/>
          <w:lang w:val="fr-FR" w:eastAsia="fr-FR"/>
        </w:rPr>
      </w:pPr>
    </w:p>
    <w:p w:rsidR="00167C23" w:rsidRPr="00EF3956" w:rsidRDefault="008B2419" w:rsidP="00157990">
      <w:pPr>
        <w:shd w:val="clear" w:color="auto" w:fill="FFFFFF"/>
        <w:spacing w:line="240" w:lineRule="auto"/>
        <w:ind w:left="0" w:right="1126"/>
        <w:rPr>
          <w:rFonts w:eastAsia="Times New Roman" w:cs="Arial"/>
          <w:szCs w:val="20"/>
          <w:lang w:val="fr-FR" w:eastAsia="fr-FR"/>
        </w:rPr>
      </w:pPr>
      <w:r>
        <w:rPr>
          <w:rFonts w:eastAsia="Times New Roman" w:cs="Arial"/>
          <w:szCs w:val="20"/>
          <w:lang w:val="fr-FR" w:eastAsia="fr-FR"/>
        </w:rPr>
        <w:t>Avec près de 3 5</w:t>
      </w:r>
      <w:r w:rsidR="00167C23" w:rsidRPr="00EF3956">
        <w:rPr>
          <w:rFonts w:eastAsia="Times New Roman" w:cs="Arial"/>
          <w:szCs w:val="20"/>
          <w:lang w:val="fr-FR" w:eastAsia="fr-FR"/>
        </w:rPr>
        <w:t>00 employés, TGW Logistics Group fabrique en Autriche et dispose de filiales en Europe, en Chine et aux Etats-Unis. Au cours de l'exercice 201</w:t>
      </w:r>
      <w:r>
        <w:rPr>
          <w:rFonts w:eastAsia="Times New Roman" w:cs="Arial"/>
          <w:szCs w:val="20"/>
          <w:lang w:val="fr-FR" w:eastAsia="fr-FR"/>
        </w:rPr>
        <w:t>8</w:t>
      </w:r>
      <w:r w:rsidR="00167C23" w:rsidRPr="00EF3956">
        <w:rPr>
          <w:rFonts w:eastAsia="Times New Roman" w:cs="Arial"/>
          <w:szCs w:val="20"/>
          <w:lang w:val="fr-FR" w:eastAsia="fr-FR"/>
        </w:rPr>
        <w:t>/201</w:t>
      </w:r>
      <w:r>
        <w:rPr>
          <w:rFonts w:eastAsia="Times New Roman" w:cs="Arial"/>
          <w:szCs w:val="20"/>
          <w:lang w:val="fr-FR" w:eastAsia="fr-FR"/>
        </w:rPr>
        <w:t>9</w:t>
      </w:r>
      <w:r w:rsidR="00167C23" w:rsidRPr="00EF3956">
        <w:rPr>
          <w:rFonts w:eastAsia="Times New Roman" w:cs="Arial"/>
          <w:szCs w:val="20"/>
          <w:lang w:val="fr-FR" w:eastAsia="fr-FR"/>
        </w:rPr>
        <w:t>, TGW Logistics Group a réalisé un chiffre d'affaires de 7</w:t>
      </w:r>
      <w:r>
        <w:rPr>
          <w:rFonts w:eastAsia="Times New Roman" w:cs="Arial"/>
          <w:szCs w:val="20"/>
          <w:lang w:val="fr-FR" w:eastAsia="fr-FR"/>
        </w:rPr>
        <w:t>19</w:t>
      </w:r>
      <w:r w:rsidR="00167C23" w:rsidRPr="00EF3956">
        <w:rPr>
          <w:rFonts w:eastAsia="Times New Roman" w:cs="Arial"/>
          <w:szCs w:val="20"/>
          <w:lang w:val="fr-FR" w:eastAsia="fr-FR"/>
        </w:rPr>
        <w:t xml:space="preserve"> millions d'euros.</w:t>
      </w:r>
    </w:p>
    <w:p w:rsidR="00167C23" w:rsidRPr="00EF3956" w:rsidRDefault="00167C23" w:rsidP="00157990">
      <w:pPr>
        <w:spacing w:line="240" w:lineRule="auto"/>
        <w:ind w:left="0" w:right="1126"/>
        <w:rPr>
          <w:rFonts w:cs="Arial"/>
          <w:szCs w:val="20"/>
          <w:lang w:val="fr-FR"/>
        </w:rPr>
      </w:pPr>
    </w:p>
    <w:p w:rsidR="00157990" w:rsidRDefault="00157990" w:rsidP="00157990">
      <w:pPr>
        <w:spacing w:line="240" w:lineRule="auto"/>
        <w:ind w:left="0" w:right="1126"/>
        <w:rPr>
          <w:rFonts w:cs="Arial"/>
          <w:b/>
          <w:szCs w:val="20"/>
          <w:lang w:val="fr-FR"/>
        </w:rPr>
      </w:pPr>
    </w:p>
    <w:p w:rsidR="00157990" w:rsidRDefault="00157990" w:rsidP="00157990">
      <w:pPr>
        <w:spacing w:line="240" w:lineRule="auto"/>
        <w:ind w:left="0" w:right="1126"/>
        <w:rPr>
          <w:rFonts w:cs="Arial"/>
          <w:b/>
          <w:szCs w:val="20"/>
          <w:lang w:val="fr-FR"/>
        </w:rPr>
      </w:pPr>
    </w:p>
    <w:p w:rsidR="00157990" w:rsidRDefault="00157990" w:rsidP="00157990">
      <w:pPr>
        <w:spacing w:line="240" w:lineRule="auto"/>
        <w:ind w:left="0" w:right="1126"/>
        <w:rPr>
          <w:rFonts w:cs="Arial"/>
          <w:b/>
          <w:szCs w:val="20"/>
          <w:lang w:val="fr-FR"/>
        </w:rPr>
      </w:pPr>
    </w:p>
    <w:p w:rsidR="00157990" w:rsidRDefault="00157990" w:rsidP="00157990">
      <w:pPr>
        <w:spacing w:line="240" w:lineRule="auto"/>
        <w:ind w:left="0" w:right="1126"/>
        <w:rPr>
          <w:rFonts w:cs="Arial"/>
          <w:b/>
          <w:szCs w:val="20"/>
          <w:lang w:val="fr-FR"/>
        </w:rPr>
      </w:pPr>
    </w:p>
    <w:p w:rsidR="00167C23" w:rsidRPr="00EF3956" w:rsidRDefault="00167C23" w:rsidP="00157990">
      <w:pPr>
        <w:spacing w:line="240" w:lineRule="auto"/>
        <w:ind w:left="0" w:right="1126"/>
        <w:rPr>
          <w:rFonts w:cs="Arial"/>
          <w:b/>
          <w:szCs w:val="20"/>
          <w:lang w:val="fr-FR"/>
        </w:rPr>
      </w:pPr>
      <w:r w:rsidRPr="00EF3956">
        <w:rPr>
          <w:rFonts w:cs="Arial"/>
          <w:b/>
          <w:szCs w:val="20"/>
          <w:lang w:val="fr-FR"/>
        </w:rPr>
        <w:t>Photos :</w:t>
      </w:r>
    </w:p>
    <w:p w:rsidR="00167C23" w:rsidRPr="00EF3956" w:rsidRDefault="00167C23" w:rsidP="00157990">
      <w:pPr>
        <w:spacing w:line="240" w:lineRule="auto"/>
        <w:ind w:left="0" w:right="1126"/>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p>
    <w:p w:rsidR="00167C23" w:rsidRDefault="00167C23" w:rsidP="00167C23">
      <w:pPr>
        <w:spacing w:line="240" w:lineRule="auto"/>
        <w:ind w:left="0" w:right="165"/>
        <w:rPr>
          <w:rFonts w:cs="Arial"/>
          <w:b/>
          <w:szCs w:val="20"/>
          <w:lang w:val="en-US"/>
        </w:rPr>
      </w:pPr>
      <w:r w:rsidRPr="00EF3956">
        <w:rPr>
          <w:rFonts w:cs="Arial"/>
          <w:b/>
          <w:szCs w:val="20"/>
          <w:lang w:val="en-US"/>
        </w:rPr>
        <w:t>Contact</w:t>
      </w:r>
    </w:p>
    <w:p w:rsidR="00157990" w:rsidRPr="00B6049A" w:rsidRDefault="00157990" w:rsidP="00157990">
      <w:pPr>
        <w:spacing w:line="240" w:lineRule="auto"/>
        <w:ind w:left="0" w:right="165"/>
        <w:rPr>
          <w:rFonts w:cs="Arial"/>
          <w:szCs w:val="20"/>
          <w:lang w:val="en-AU"/>
        </w:rPr>
      </w:pPr>
      <w:r w:rsidRPr="00B6049A">
        <w:rPr>
          <w:rFonts w:cs="Arial"/>
          <w:szCs w:val="20"/>
          <w:lang w:val="en-AU"/>
        </w:rPr>
        <w:t>Alexander Tahedl</w:t>
      </w:r>
    </w:p>
    <w:p w:rsidR="00157990" w:rsidRPr="00EF3956" w:rsidRDefault="00157990" w:rsidP="00157990">
      <w:pPr>
        <w:spacing w:line="240" w:lineRule="auto"/>
        <w:ind w:left="0" w:right="165"/>
        <w:rPr>
          <w:rFonts w:cs="Arial"/>
          <w:szCs w:val="20"/>
          <w:lang w:val="en-US"/>
        </w:rPr>
      </w:pPr>
      <w:r>
        <w:rPr>
          <w:rFonts w:cs="Arial"/>
          <w:szCs w:val="20"/>
          <w:lang w:val="en-US"/>
        </w:rPr>
        <w:t>Communications</w:t>
      </w:r>
      <w:r w:rsidRPr="00EF3956">
        <w:rPr>
          <w:rFonts w:cs="Arial"/>
          <w:szCs w:val="20"/>
          <w:lang w:val="en-US"/>
        </w:rPr>
        <w:t xml:space="preserve"> Specialist</w:t>
      </w:r>
    </w:p>
    <w:p w:rsidR="00157990" w:rsidRPr="00EF3956" w:rsidRDefault="00157990" w:rsidP="00157990">
      <w:pPr>
        <w:spacing w:line="240" w:lineRule="auto"/>
        <w:ind w:left="0" w:right="165"/>
        <w:rPr>
          <w:rFonts w:cs="Arial"/>
          <w:szCs w:val="20"/>
          <w:lang w:val="en-US"/>
        </w:rPr>
      </w:pPr>
      <w:r w:rsidRPr="00EF3956">
        <w:rPr>
          <w:rFonts w:cs="Arial"/>
          <w:szCs w:val="20"/>
          <w:lang w:val="en-US"/>
        </w:rPr>
        <w:t>T: +43.(0)50.486-2267</w:t>
      </w:r>
    </w:p>
    <w:p w:rsidR="00157990" w:rsidRPr="00A04597" w:rsidRDefault="00157990" w:rsidP="00157990">
      <w:pPr>
        <w:spacing w:line="240" w:lineRule="auto"/>
        <w:ind w:left="0" w:right="165"/>
        <w:rPr>
          <w:rStyle w:val="Hyperlink"/>
          <w:rFonts w:cs="Arial"/>
          <w:color w:val="auto"/>
          <w:szCs w:val="20"/>
          <w:u w:val="none"/>
          <w:lang w:val="de-AT"/>
        </w:rPr>
      </w:pPr>
      <w:r w:rsidRPr="00A04597">
        <w:rPr>
          <w:rFonts w:cs="Arial"/>
          <w:szCs w:val="20"/>
          <w:lang w:val="de-AT"/>
        </w:rPr>
        <w:t>alexander.tahedl@tgw-group.com</w:t>
      </w:r>
    </w:p>
    <w:p w:rsidR="00157990" w:rsidRPr="00A04597" w:rsidRDefault="00157990" w:rsidP="00167C23">
      <w:pPr>
        <w:spacing w:line="240" w:lineRule="auto"/>
        <w:ind w:left="0" w:right="165"/>
        <w:rPr>
          <w:rFonts w:cs="Arial"/>
          <w:b/>
          <w:szCs w:val="20"/>
          <w:lang w:val="de-AT"/>
        </w:rPr>
      </w:pPr>
    </w:p>
    <w:p w:rsidR="00157990" w:rsidRPr="00A04597" w:rsidRDefault="00157990" w:rsidP="00167C23">
      <w:pPr>
        <w:spacing w:line="240" w:lineRule="auto"/>
        <w:ind w:left="0" w:right="165"/>
        <w:rPr>
          <w:rFonts w:cs="Arial"/>
          <w:b/>
          <w:szCs w:val="20"/>
          <w:lang w:val="de-AT"/>
        </w:rPr>
      </w:pPr>
    </w:p>
    <w:p w:rsidR="00167C23" w:rsidRPr="00A04597" w:rsidRDefault="00167C23" w:rsidP="00167C23">
      <w:pPr>
        <w:spacing w:line="240" w:lineRule="auto"/>
        <w:ind w:left="0" w:right="165"/>
        <w:rPr>
          <w:rFonts w:cs="Arial"/>
          <w:szCs w:val="20"/>
          <w:lang w:val="de-AT"/>
        </w:rPr>
      </w:pPr>
      <w:r w:rsidRPr="00A04597">
        <w:rPr>
          <w:rFonts w:cs="Arial"/>
          <w:szCs w:val="20"/>
          <w:lang w:val="de-AT"/>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563E18" w:rsidRDefault="00167C23" w:rsidP="00167C23">
      <w:pPr>
        <w:spacing w:line="240" w:lineRule="auto"/>
        <w:ind w:left="0" w:right="165"/>
        <w:rPr>
          <w:rFonts w:cs="Arial"/>
          <w:szCs w:val="20"/>
          <w:lang w:val="en-AU"/>
        </w:rPr>
      </w:pPr>
      <w:r w:rsidRPr="00563E18">
        <w:rPr>
          <w:rFonts w:cs="Arial"/>
          <w:szCs w:val="20"/>
          <w:lang w:val="en-AU"/>
        </w:rPr>
        <w:t>T: +43</w:t>
      </w:r>
      <w:proofErr w:type="gramStart"/>
      <w:r w:rsidRPr="00563E18">
        <w:rPr>
          <w:rFonts w:cs="Arial"/>
          <w:szCs w:val="20"/>
          <w:lang w:val="en-AU"/>
        </w:rPr>
        <w:t>.(</w:t>
      </w:r>
      <w:proofErr w:type="gramEnd"/>
      <w:r w:rsidRPr="00563E18">
        <w:rPr>
          <w:rFonts w:cs="Arial"/>
          <w:szCs w:val="20"/>
          <w:lang w:val="en-AU"/>
        </w:rPr>
        <w:t>0)50.486-1382</w:t>
      </w:r>
    </w:p>
    <w:p w:rsidR="00167C23" w:rsidRPr="00563E18" w:rsidRDefault="00167C23" w:rsidP="00167C23">
      <w:pPr>
        <w:spacing w:line="240" w:lineRule="auto"/>
        <w:ind w:left="0" w:right="165"/>
        <w:rPr>
          <w:rFonts w:cs="Arial"/>
          <w:szCs w:val="20"/>
          <w:lang w:val="en-AU"/>
        </w:rPr>
      </w:pPr>
      <w:r w:rsidRPr="00563E18">
        <w:rPr>
          <w:rFonts w:cs="Arial"/>
          <w:szCs w:val="20"/>
          <w:lang w:val="en-AU"/>
        </w:rPr>
        <w:t>M: +43</w:t>
      </w:r>
      <w:proofErr w:type="gramStart"/>
      <w:r w:rsidRPr="00563E18">
        <w:rPr>
          <w:rFonts w:cs="Arial"/>
          <w:szCs w:val="20"/>
          <w:lang w:val="en-AU"/>
        </w:rPr>
        <w:t>.(</w:t>
      </w:r>
      <w:proofErr w:type="gramEnd"/>
      <w:r w:rsidRPr="00563E18">
        <w:rPr>
          <w:rFonts w:cs="Arial"/>
          <w:szCs w:val="20"/>
          <w:lang w:val="en-AU"/>
        </w:rPr>
        <w:t>0)664.8187423</w:t>
      </w:r>
    </w:p>
    <w:p w:rsidR="00167C23" w:rsidRPr="00EF3956" w:rsidRDefault="00167C23" w:rsidP="00167C23">
      <w:pPr>
        <w:spacing w:line="240" w:lineRule="auto"/>
        <w:ind w:left="0" w:right="165"/>
        <w:rPr>
          <w:rFonts w:cs="Arial"/>
          <w:szCs w:val="20"/>
        </w:rPr>
      </w:pPr>
      <w:proofErr w:type="gramStart"/>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w:t>
      </w:r>
      <w:proofErr w:type="gramEnd"/>
      <w:r w:rsidRPr="00EF3956">
        <w:rPr>
          <w:rFonts w:cs="Arial"/>
          <w:szCs w:val="20"/>
        </w:rPr>
        <w:t>@tgw-group.com</w:t>
      </w:r>
    </w:p>
    <w:p w:rsidR="00167C23" w:rsidRPr="00EF3956" w:rsidRDefault="00167C23" w:rsidP="00167C23">
      <w:pPr>
        <w:spacing w:line="240" w:lineRule="auto"/>
        <w:ind w:left="0" w:right="165"/>
        <w:rPr>
          <w:rFonts w:cs="Arial"/>
          <w:szCs w:val="20"/>
        </w:rPr>
      </w:pPr>
    </w:p>
    <w:p w:rsidR="00157990" w:rsidRPr="00341043" w:rsidRDefault="00157990">
      <w:pPr>
        <w:spacing w:line="240" w:lineRule="auto"/>
        <w:ind w:left="0" w:right="165"/>
        <w:rPr>
          <w:rStyle w:val="Hyperlink"/>
          <w:rFonts w:cs="Arial"/>
          <w:color w:val="auto"/>
          <w:szCs w:val="20"/>
          <w:u w:val="none"/>
          <w:lang w:val="de-AT"/>
        </w:rPr>
      </w:pPr>
    </w:p>
    <w:sectPr w:rsidR="00157990" w:rsidRPr="00341043"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31B" w:rsidRDefault="00FF031B" w:rsidP="00764006">
      <w:pPr>
        <w:spacing w:line="240" w:lineRule="auto"/>
      </w:pPr>
      <w:r>
        <w:separator/>
      </w:r>
    </w:p>
  </w:endnote>
  <w:endnote w:type="continuationSeparator" w:id="0">
    <w:p w:rsidR="00FF031B" w:rsidRDefault="00FF031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563E18">
            <w:rPr>
              <w:noProof/>
              <w:sz w:val="16"/>
              <w:szCs w:val="16"/>
            </w:rPr>
            <w:t>3</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563E18">
            <w:rPr>
              <w:noProof/>
              <w:sz w:val="16"/>
              <w:szCs w:val="16"/>
            </w:rPr>
            <w:t>3</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31B" w:rsidRDefault="00FF031B" w:rsidP="00764006">
      <w:pPr>
        <w:spacing w:line="240" w:lineRule="auto"/>
      </w:pPr>
      <w:r>
        <w:separator/>
      </w:r>
    </w:p>
  </w:footnote>
  <w:footnote w:type="continuationSeparator" w:id="0">
    <w:p w:rsidR="00FF031B" w:rsidRDefault="00FF031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62660CB"/>
    <w:multiLevelType w:val="hybridMultilevel"/>
    <w:tmpl w:val="CEF06C08"/>
    <w:lvl w:ilvl="0" w:tplc="8D1276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5DDA2D02"/>
    <w:multiLevelType w:val="hybridMultilevel"/>
    <w:tmpl w:val="B6EAD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20"/>
  </w:num>
  <w:num w:numId="5">
    <w:abstractNumId w:val="23"/>
  </w:num>
  <w:num w:numId="6">
    <w:abstractNumId w:val="2"/>
  </w:num>
  <w:num w:numId="7">
    <w:abstractNumId w:val="0"/>
  </w:num>
  <w:num w:numId="8">
    <w:abstractNumId w:val="17"/>
  </w:num>
  <w:num w:numId="9">
    <w:abstractNumId w:val="4"/>
  </w:num>
  <w:num w:numId="10">
    <w:abstractNumId w:val="26"/>
  </w:num>
  <w:num w:numId="11">
    <w:abstractNumId w:val="10"/>
  </w:num>
  <w:num w:numId="12">
    <w:abstractNumId w:val="6"/>
  </w:num>
  <w:num w:numId="13">
    <w:abstractNumId w:val="7"/>
  </w:num>
  <w:num w:numId="14">
    <w:abstractNumId w:val="16"/>
  </w:num>
  <w:num w:numId="15">
    <w:abstractNumId w:val="29"/>
  </w:num>
  <w:num w:numId="16">
    <w:abstractNumId w:val="18"/>
  </w:num>
  <w:num w:numId="17">
    <w:abstractNumId w:val="12"/>
  </w:num>
  <w:num w:numId="18">
    <w:abstractNumId w:val="8"/>
  </w:num>
  <w:num w:numId="19">
    <w:abstractNumId w:val="28"/>
  </w:num>
  <w:num w:numId="20">
    <w:abstractNumId w:val="22"/>
  </w:num>
  <w:num w:numId="21">
    <w:abstractNumId w:val="25"/>
  </w:num>
  <w:num w:numId="22">
    <w:abstractNumId w:val="15"/>
  </w:num>
  <w:num w:numId="23">
    <w:abstractNumId w:val="24"/>
  </w:num>
  <w:num w:numId="24">
    <w:abstractNumId w:val="27"/>
  </w:num>
  <w:num w:numId="25">
    <w:abstractNumId w:val="5"/>
  </w:num>
  <w:num w:numId="26">
    <w:abstractNumId w:val="13"/>
  </w:num>
  <w:num w:numId="27">
    <w:abstractNumId w:val="1"/>
  </w:num>
  <w:num w:numId="28">
    <w:abstractNumId w:val="19"/>
  </w:num>
  <w:num w:numId="29">
    <w:abstractNumId w:val="2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311D"/>
    <w:rsid w:val="000758A7"/>
    <w:rsid w:val="00075D61"/>
    <w:rsid w:val="00085169"/>
    <w:rsid w:val="00086319"/>
    <w:rsid w:val="0009316E"/>
    <w:rsid w:val="00093ACC"/>
    <w:rsid w:val="00095936"/>
    <w:rsid w:val="000969D5"/>
    <w:rsid w:val="000A267E"/>
    <w:rsid w:val="000A6CE7"/>
    <w:rsid w:val="000B65C7"/>
    <w:rsid w:val="000B735C"/>
    <w:rsid w:val="000C38EE"/>
    <w:rsid w:val="000D0B23"/>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5EE4"/>
    <w:rsid w:val="0012627D"/>
    <w:rsid w:val="00131A55"/>
    <w:rsid w:val="001325F4"/>
    <w:rsid w:val="001338DB"/>
    <w:rsid w:val="00142015"/>
    <w:rsid w:val="00142599"/>
    <w:rsid w:val="00142D0C"/>
    <w:rsid w:val="00146F55"/>
    <w:rsid w:val="001473B0"/>
    <w:rsid w:val="00147C5F"/>
    <w:rsid w:val="001511F9"/>
    <w:rsid w:val="00152760"/>
    <w:rsid w:val="00155AE9"/>
    <w:rsid w:val="00157990"/>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1EA"/>
    <w:rsid w:val="00223EA8"/>
    <w:rsid w:val="0023663F"/>
    <w:rsid w:val="00244907"/>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B01D3"/>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1043"/>
    <w:rsid w:val="00343BB5"/>
    <w:rsid w:val="00345413"/>
    <w:rsid w:val="00353A88"/>
    <w:rsid w:val="00367F43"/>
    <w:rsid w:val="0037168C"/>
    <w:rsid w:val="00377F06"/>
    <w:rsid w:val="00382EDF"/>
    <w:rsid w:val="00386B3D"/>
    <w:rsid w:val="0039100A"/>
    <w:rsid w:val="0039221F"/>
    <w:rsid w:val="00393349"/>
    <w:rsid w:val="003937AD"/>
    <w:rsid w:val="003A1305"/>
    <w:rsid w:val="003A234F"/>
    <w:rsid w:val="003A35D1"/>
    <w:rsid w:val="003A5CDA"/>
    <w:rsid w:val="003A6D30"/>
    <w:rsid w:val="003A7D0A"/>
    <w:rsid w:val="003B2F92"/>
    <w:rsid w:val="003B47D3"/>
    <w:rsid w:val="003B509C"/>
    <w:rsid w:val="003B5271"/>
    <w:rsid w:val="003B5B33"/>
    <w:rsid w:val="003B62B4"/>
    <w:rsid w:val="003B7A94"/>
    <w:rsid w:val="003C0236"/>
    <w:rsid w:val="003C28EE"/>
    <w:rsid w:val="003C747F"/>
    <w:rsid w:val="003E1FFC"/>
    <w:rsid w:val="003E3F4D"/>
    <w:rsid w:val="003E4DE9"/>
    <w:rsid w:val="003E6164"/>
    <w:rsid w:val="003F4923"/>
    <w:rsid w:val="004022C2"/>
    <w:rsid w:val="004031B0"/>
    <w:rsid w:val="004104A8"/>
    <w:rsid w:val="00410BEF"/>
    <w:rsid w:val="00414E36"/>
    <w:rsid w:val="00421BE2"/>
    <w:rsid w:val="0042401F"/>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66A74"/>
    <w:rsid w:val="004713CE"/>
    <w:rsid w:val="004746BE"/>
    <w:rsid w:val="0047613B"/>
    <w:rsid w:val="004832B0"/>
    <w:rsid w:val="00483405"/>
    <w:rsid w:val="00494C82"/>
    <w:rsid w:val="004A3FD4"/>
    <w:rsid w:val="004B03A1"/>
    <w:rsid w:val="004B219C"/>
    <w:rsid w:val="004B3F79"/>
    <w:rsid w:val="004C1AD1"/>
    <w:rsid w:val="004C5917"/>
    <w:rsid w:val="004C6B87"/>
    <w:rsid w:val="004F6ECF"/>
    <w:rsid w:val="0050153C"/>
    <w:rsid w:val="005025FE"/>
    <w:rsid w:val="0050450E"/>
    <w:rsid w:val="0051072F"/>
    <w:rsid w:val="00512B68"/>
    <w:rsid w:val="005136AB"/>
    <w:rsid w:val="005201E0"/>
    <w:rsid w:val="00523149"/>
    <w:rsid w:val="0053243C"/>
    <w:rsid w:val="0053307C"/>
    <w:rsid w:val="00534D59"/>
    <w:rsid w:val="00545BF8"/>
    <w:rsid w:val="005534D9"/>
    <w:rsid w:val="00560A7A"/>
    <w:rsid w:val="00563E18"/>
    <w:rsid w:val="00570375"/>
    <w:rsid w:val="00570606"/>
    <w:rsid w:val="00571727"/>
    <w:rsid w:val="00572ACA"/>
    <w:rsid w:val="00574AF2"/>
    <w:rsid w:val="0058443D"/>
    <w:rsid w:val="00585363"/>
    <w:rsid w:val="00595F5F"/>
    <w:rsid w:val="005A42B3"/>
    <w:rsid w:val="005A4860"/>
    <w:rsid w:val="005B3F84"/>
    <w:rsid w:val="005B5337"/>
    <w:rsid w:val="005B6C1C"/>
    <w:rsid w:val="005B7A5A"/>
    <w:rsid w:val="005C52BE"/>
    <w:rsid w:val="005D0C18"/>
    <w:rsid w:val="005D3024"/>
    <w:rsid w:val="005D4DAA"/>
    <w:rsid w:val="005D56DA"/>
    <w:rsid w:val="005D71EC"/>
    <w:rsid w:val="005E2C94"/>
    <w:rsid w:val="005E362F"/>
    <w:rsid w:val="005E5427"/>
    <w:rsid w:val="005F0CD7"/>
    <w:rsid w:val="005F1EA6"/>
    <w:rsid w:val="005F366F"/>
    <w:rsid w:val="00601F87"/>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606C6"/>
    <w:rsid w:val="00660B22"/>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5FD7"/>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2419"/>
    <w:rsid w:val="008B7DCA"/>
    <w:rsid w:val="008C1E4D"/>
    <w:rsid w:val="008C2429"/>
    <w:rsid w:val="008C5A1B"/>
    <w:rsid w:val="008C62E5"/>
    <w:rsid w:val="008C7CB8"/>
    <w:rsid w:val="008D06BE"/>
    <w:rsid w:val="008D1D93"/>
    <w:rsid w:val="008D7FF7"/>
    <w:rsid w:val="008E7A6F"/>
    <w:rsid w:val="008F0F4D"/>
    <w:rsid w:val="008F116E"/>
    <w:rsid w:val="008F2AC5"/>
    <w:rsid w:val="008F7701"/>
    <w:rsid w:val="009006FC"/>
    <w:rsid w:val="00903DEA"/>
    <w:rsid w:val="0090593C"/>
    <w:rsid w:val="00912C82"/>
    <w:rsid w:val="0091328C"/>
    <w:rsid w:val="00914596"/>
    <w:rsid w:val="00920D0B"/>
    <w:rsid w:val="009242D9"/>
    <w:rsid w:val="009248C3"/>
    <w:rsid w:val="009275F8"/>
    <w:rsid w:val="009321FE"/>
    <w:rsid w:val="00934BF1"/>
    <w:rsid w:val="00937996"/>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56B1"/>
    <w:rsid w:val="009D685A"/>
    <w:rsid w:val="009E037A"/>
    <w:rsid w:val="009E2033"/>
    <w:rsid w:val="009E4C9B"/>
    <w:rsid w:val="009E735E"/>
    <w:rsid w:val="009E79F0"/>
    <w:rsid w:val="009F651A"/>
    <w:rsid w:val="00A00CCD"/>
    <w:rsid w:val="00A01BF4"/>
    <w:rsid w:val="00A022A6"/>
    <w:rsid w:val="00A035F1"/>
    <w:rsid w:val="00A04597"/>
    <w:rsid w:val="00A06684"/>
    <w:rsid w:val="00A15BB9"/>
    <w:rsid w:val="00A22B75"/>
    <w:rsid w:val="00A34171"/>
    <w:rsid w:val="00A35831"/>
    <w:rsid w:val="00A3689B"/>
    <w:rsid w:val="00A407E9"/>
    <w:rsid w:val="00A471EA"/>
    <w:rsid w:val="00A510C0"/>
    <w:rsid w:val="00A575D3"/>
    <w:rsid w:val="00A617D8"/>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04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E1A"/>
    <w:rsid w:val="00CA5A78"/>
    <w:rsid w:val="00CA5C99"/>
    <w:rsid w:val="00CB6FA6"/>
    <w:rsid w:val="00CC797E"/>
    <w:rsid w:val="00CD6174"/>
    <w:rsid w:val="00CE0E70"/>
    <w:rsid w:val="00CE1EE1"/>
    <w:rsid w:val="00CE38E3"/>
    <w:rsid w:val="00CE57C8"/>
    <w:rsid w:val="00CE5C9C"/>
    <w:rsid w:val="00CE73ED"/>
    <w:rsid w:val="00CF4A67"/>
    <w:rsid w:val="00CF6DE3"/>
    <w:rsid w:val="00D01632"/>
    <w:rsid w:val="00D024D9"/>
    <w:rsid w:val="00D0311C"/>
    <w:rsid w:val="00D1043D"/>
    <w:rsid w:val="00D10B90"/>
    <w:rsid w:val="00D119C3"/>
    <w:rsid w:val="00D151F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312"/>
    <w:rsid w:val="00D77C93"/>
    <w:rsid w:val="00D85C8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C69CC"/>
    <w:rsid w:val="00DD2A0D"/>
    <w:rsid w:val="00DD36CD"/>
    <w:rsid w:val="00DE10C1"/>
    <w:rsid w:val="00DF270B"/>
    <w:rsid w:val="00DF285B"/>
    <w:rsid w:val="00DF36AC"/>
    <w:rsid w:val="00DF637D"/>
    <w:rsid w:val="00DF6D64"/>
    <w:rsid w:val="00DF78AA"/>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09AD"/>
    <w:rsid w:val="00E71E09"/>
    <w:rsid w:val="00E72BB5"/>
    <w:rsid w:val="00E8292C"/>
    <w:rsid w:val="00E8471F"/>
    <w:rsid w:val="00E85CA1"/>
    <w:rsid w:val="00E91F09"/>
    <w:rsid w:val="00E927FC"/>
    <w:rsid w:val="00E967EB"/>
    <w:rsid w:val="00EA410B"/>
    <w:rsid w:val="00EB4632"/>
    <w:rsid w:val="00EB6E2E"/>
    <w:rsid w:val="00EB7CB2"/>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970"/>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31B"/>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EA7C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09B5E-0E5F-4886-9831-32B7BA55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3519</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17</cp:revision>
  <cp:lastPrinted>2019-02-21T13:46:00Z</cp:lastPrinted>
  <dcterms:created xsi:type="dcterms:W3CDTF">2020-01-29T15:33:00Z</dcterms:created>
  <dcterms:modified xsi:type="dcterms:W3CDTF">2020-02-06T05:16:00Z</dcterms:modified>
</cp:coreProperties>
</file>