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B2" w:rsidRDefault="002E07B2" w:rsidP="002E07B2">
      <w:pPr>
        <w:spacing w:line="240" w:lineRule="auto"/>
        <w:ind w:left="0" w:right="1693"/>
        <w:rPr>
          <w:b/>
          <w:sz w:val="28"/>
          <w:szCs w:val="28"/>
          <w:lang w:val="fr-FR"/>
        </w:rPr>
      </w:pPr>
    </w:p>
    <w:p w:rsidR="002E07B2" w:rsidRDefault="002E07B2" w:rsidP="002E07B2">
      <w:pPr>
        <w:spacing w:line="240" w:lineRule="auto"/>
        <w:ind w:left="0" w:right="1693"/>
        <w:rPr>
          <w:b/>
          <w:sz w:val="28"/>
          <w:szCs w:val="28"/>
          <w:lang w:val="fr-FR"/>
        </w:rPr>
      </w:pPr>
    </w:p>
    <w:p w:rsidR="009F1EE7" w:rsidRPr="009F1EE7" w:rsidRDefault="009F1EE7" w:rsidP="002E07B2">
      <w:pPr>
        <w:spacing w:line="240" w:lineRule="auto"/>
        <w:ind w:left="0" w:right="1693"/>
        <w:rPr>
          <w:b/>
          <w:sz w:val="28"/>
          <w:szCs w:val="28"/>
          <w:lang w:val="fr-FR"/>
        </w:rPr>
      </w:pPr>
      <w:bookmarkStart w:id="0" w:name="_GoBack"/>
      <w:r w:rsidRPr="009F1EE7">
        <w:rPr>
          <w:b/>
          <w:sz w:val="28"/>
          <w:szCs w:val="28"/>
          <w:lang w:val="fr-FR"/>
        </w:rPr>
        <w:t>Picnic a choisi TGW pour l’automatisation de son centre de préparation à Utrecht</w:t>
      </w:r>
    </w:p>
    <w:bookmarkEnd w:id="0"/>
    <w:p w:rsidR="002E07B2" w:rsidRDefault="002E07B2" w:rsidP="002E07B2">
      <w:pPr>
        <w:spacing w:line="240" w:lineRule="auto"/>
        <w:ind w:left="0" w:right="1693"/>
        <w:rPr>
          <w:b/>
          <w:sz w:val="28"/>
          <w:szCs w:val="28"/>
          <w:lang w:val="fr-FR"/>
        </w:rPr>
      </w:pPr>
    </w:p>
    <w:p w:rsidR="009F1EE7" w:rsidRPr="002E07B2" w:rsidRDefault="009F1EE7" w:rsidP="002E07B2">
      <w:pPr>
        <w:pStyle w:val="Listenabsatz"/>
        <w:numPr>
          <w:ilvl w:val="0"/>
          <w:numId w:val="31"/>
        </w:numPr>
        <w:spacing w:line="240" w:lineRule="auto"/>
        <w:ind w:right="1693"/>
        <w:rPr>
          <w:b/>
          <w:sz w:val="24"/>
          <w:szCs w:val="24"/>
          <w:lang w:val="fr-FR"/>
        </w:rPr>
      </w:pPr>
      <w:r w:rsidRPr="002E07B2">
        <w:rPr>
          <w:b/>
          <w:sz w:val="24"/>
          <w:szCs w:val="24"/>
          <w:lang w:val="fr-FR"/>
        </w:rPr>
        <w:t>Système FlashPick® avec plusieurs zones de température</w:t>
      </w:r>
    </w:p>
    <w:p w:rsidR="009F1EE7" w:rsidRPr="002E07B2" w:rsidRDefault="009F1EE7" w:rsidP="002E07B2">
      <w:pPr>
        <w:pStyle w:val="Listenabsatz"/>
        <w:numPr>
          <w:ilvl w:val="0"/>
          <w:numId w:val="31"/>
        </w:numPr>
        <w:spacing w:line="240" w:lineRule="auto"/>
        <w:ind w:right="1693"/>
        <w:rPr>
          <w:b/>
          <w:sz w:val="24"/>
          <w:szCs w:val="24"/>
          <w:lang w:val="fr-FR"/>
        </w:rPr>
      </w:pPr>
      <w:r w:rsidRPr="002E07B2">
        <w:rPr>
          <w:b/>
          <w:sz w:val="24"/>
          <w:szCs w:val="24"/>
          <w:lang w:val="fr-FR"/>
        </w:rPr>
        <w:t>Chargement des véhicules de livraison assisté par robot</w:t>
      </w:r>
    </w:p>
    <w:p w:rsidR="009F1EE7" w:rsidRPr="002E07B2" w:rsidRDefault="009F1EE7" w:rsidP="002E07B2">
      <w:pPr>
        <w:pStyle w:val="Listenabsatz"/>
        <w:numPr>
          <w:ilvl w:val="0"/>
          <w:numId w:val="31"/>
        </w:numPr>
        <w:spacing w:line="240" w:lineRule="auto"/>
        <w:ind w:right="1693"/>
        <w:rPr>
          <w:b/>
          <w:sz w:val="24"/>
          <w:szCs w:val="24"/>
          <w:lang w:val="fr-FR"/>
        </w:rPr>
      </w:pPr>
      <w:r w:rsidRPr="002E07B2">
        <w:rPr>
          <w:b/>
          <w:sz w:val="24"/>
          <w:szCs w:val="24"/>
          <w:lang w:val="fr-FR"/>
        </w:rPr>
        <w:t>TGW et Picnic: début d'un partenariat stratégique</w:t>
      </w:r>
    </w:p>
    <w:p w:rsidR="009F1EE7" w:rsidRPr="009F1EE7" w:rsidRDefault="009F1EE7" w:rsidP="002E07B2">
      <w:pPr>
        <w:spacing w:line="240" w:lineRule="auto"/>
        <w:ind w:left="0" w:right="1693"/>
        <w:rPr>
          <w:b/>
          <w:sz w:val="28"/>
          <w:szCs w:val="28"/>
          <w:lang w:val="fr-FR"/>
        </w:rPr>
      </w:pPr>
    </w:p>
    <w:p w:rsidR="009F1EE7" w:rsidRPr="009F1EE7" w:rsidRDefault="009F1EE7" w:rsidP="002E07B2">
      <w:pPr>
        <w:spacing w:line="360" w:lineRule="auto"/>
        <w:ind w:left="0" w:right="1695"/>
        <w:rPr>
          <w:b/>
          <w:szCs w:val="20"/>
          <w:lang w:val="fr-FR"/>
        </w:rPr>
      </w:pPr>
      <w:r w:rsidRPr="009F1EE7">
        <w:rPr>
          <w:b/>
          <w:szCs w:val="20"/>
          <w:lang w:val="fr-FR"/>
        </w:rPr>
        <w:t xml:space="preserve">(Marchtrenk, 7 juillet 2020) TGW construit un centre de préparation de commandes hautement automatisé pour Picnic à Utrecht, aux Pays-Bas. Le supermarché en ligne s'appuie sur un système FlashPick® puissant mais extrêmement flexible, avec trois zones de température. Un système </w:t>
      </w:r>
      <w:r>
        <w:rPr>
          <w:b/>
          <w:szCs w:val="20"/>
          <w:lang w:val="fr-FR"/>
        </w:rPr>
        <w:t>shuttle</w:t>
      </w:r>
      <w:r w:rsidRPr="009F1EE7">
        <w:rPr>
          <w:b/>
          <w:szCs w:val="20"/>
          <w:lang w:val="fr-FR"/>
        </w:rPr>
        <w:t xml:space="preserve"> constitue le cœur de la solution.</w:t>
      </w:r>
    </w:p>
    <w:p w:rsidR="009F1EE7" w:rsidRPr="002E07B2" w:rsidRDefault="009F1EE7" w:rsidP="002E07B2">
      <w:pPr>
        <w:spacing w:line="360" w:lineRule="auto"/>
        <w:ind w:left="0" w:right="1695"/>
        <w:rPr>
          <w:b/>
          <w:sz w:val="24"/>
          <w:szCs w:val="24"/>
          <w:lang w:val="fr-FR"/>
        </w:rPr>
      </w:pPr>
    </w:p>
    <w:p w:rsidR="009F1EE7" w:rsidRPr="000A77A4" w:rsidRDefault="009F1EE7" w:rsidP="002E07B2">
      <w:pPr>
        <w:spacing w:line="360" w:lineRule="auto"/>
        <w:ind w:left="0" w:right="1695"/>
        <w:rPr>
          <w:szCs w:val="20"/>
          <w:lang w:val="fr-FR"/>
        </w:rPr>
      </w:pPr>
      <w:r w:rsidRPr="000A77A4">
        <w:rPr>
          <w:szCs w:val="20"/>
          <w:lang w:val="fr-FR"/>
        </w:rPr>
        <w:t xml:space="preserve">Picnic a été fondé en 2015 à Amersfoort et s'est rapidement développé aux Pays-Bas et en Allemagne. L'entreprise livre des produits alimentaires dans plus de 130 villes, en utilisant huit centres de distribution. Le nombre de clients ne cesse d'augmenter </w:t>
      </w:r>
      <w:r w:rsidR="00B2743D" w:rsidRPr="000A77A4">
        <w:rPr>
          <w:szCs w:val="20"/>
          <w:lang w:val="fr-FR"/>
        </w:rPr>
        <w:t>mais les commandes sont passées via une application intuitive appuyée par une logistique ultra réactive.</w:t>
      </w:r>
      <w:r w:rsidRPr="000A77A4">
        <w:rPr>
          <w:szCs w:val="20"/>
          <w:lang w:val="fr-FR"/>
        </w:rPr>
        <w:t xml:space="preserve"> Les clients qui commandent avant 22 heures</w:t>
      </w:r>
      <w:r w:rsidR="00B2743D" w:rsidRPr="000A77A4">
        <w:rPr>
          <w:szCs w:val="20"/>
          <w:lang w:val="fr-FR"/>
        </w:rPr>
        <w:t xml:space="preserve"> </w:t>
      </w:r>
      <w:r w:rsidR="000A77A4" w:rsidRPr="000A77A4">
        <w:rPr>
          <w:szCs w:val="20"/>
          <w:lang w:val="fr-FR"/>
        </w:rPr>
        <w:t>sont livrés dès le lendemain</w:t>
      </w:r>
      <w:r w:rsidRPr="000A77A4">
        <w:rPr>
          <w:szCs w:val="20"/>
          <w:lang w:val="fr-FR"/>
        </w:rPr>
        <w:t>. Les fruits, les légumes, la viande et les produits secs sont livrés à domicile sans émissions</w:t>
      </w:r>
      <w:r w:rsidR="00B2743D" w:rsidRPr="000A77A4">
        <w:rPr>
          <w:szCs w:val="20"/>
          <w:lang w:val="fr-FR"/>
        </w:rPr>
        <w:t xml:space="preserve"> de CO²</w:t>
      </w:r>
      <w:r w:rsidRPr="000A77A4">
        <w:rPr>
          <w:szCs w:val="20"/>
          <w:lang w:val="fr-FR"/>
        </w:rPr>
        <w:t>, grâce à une flotte de fourgons électriques respectueux de l'environnement.</w:t>
      </w:r>
    </w:p>
    <w:p w:rsidR="009F1EE7" w:rsidRPr="000A77A4" w:rsidRDefault="009F1EE7" w:rsidP="002E07B2">
      <w:pPr>
        <w:spacing w:line="360" w:lineRule="auto"/>
        <w:ind w:left="0" w:right="1695"/>
        <w:rPr>
          <w:b/>
          <w:sz w:val="28"/>
          <w:szCs w:val="28"/>
          <w:lang w:val="fr-FR"/>
        </w:rPr>
      </w:pPr>
    </w:p>
    <w:p w:rsidR="009F1EE7" w:rsidRPr="000A77A4" w:rsidRDefault="009F1EE7" w:rsidP="002E07B2">
      <w:pPr>
        <w:spacing w:line="360" w:lineRule="auto"/>
        <w:ind w:left="0" w:right="1695"/>
        <w:rPr>
          <w:b/>
          <w:szCs w:val="20"/>
          <w:lang w:val="fr-FR"/>
        </w:rPr>
      </w:pPr>
      <w:r w:rsidRPr="000A77A4">
        <w:rPr>
          <w:b/>
          <w:szCs w:val="20"/>
          <w:lang w:val="fr-FR"/>
        </w:rPr>
        <w:t>Des produits alimentaires pour plus de 150 000 familles par semaine</w:t>
      </w:r>
    </w:p>
    <w:p w:rsidR="009F1EE7" w:rsidRPr="000A77A4" w:rsidRDefault="009F1EE7" w:rsidP="002E07B2">
      <w:pPr>
        <w:spacing w:line="360" w:lineRule="auto"/>
        <w:ind w:left="0" w:right="1695"/>
        <w:rPr>
          <w:b/>
          <w:szCs w:val="20"/>
          <w:lang w:val="fr-FR"/>
        </w:rPr>
      </w:pPr>
    </w:p>
    <w:p w:rsidR="009F1EE7" w:rsidRPr="000A77A4" w:rsidRDefault="009F1EE7" w:rsidP="002E07B2">
      <w:pPr>
        <w:spacing w:line="360" w:lineRule="auto"/>
        <w:ind w:left="0" w:right="1695"/>
        <w:rPr>
          <w:szCs w:val="20"/>
          <w:lang w:val="fr-FR"/>
        </w:rPr>
      </w:pPr>
      <w:r w:rsidRPr="000A77A4">
        <w:rPr>
          <w:szCs w:val="20"/>
          <w:lang w:val="fr-FR"/>
        </w:rPr>
        <w:t>Le centre de distribution de 40 000 m² utilise une technologie haut</w:t>
      </w:r>
      <w:r w:rsidR="00424AB3" w:rsidRPr="000A77A4">
        <w:rPr>
          <w:szCs w:val="20"/>
          <w:lang w:val="fr-FR"/>
        </w:rPr>
        <w:t>ement automatisée pour livrer des produits alimentaires</w:t>
      </w:r>
      <w:r w:rsidRPr="000A77A4">
        <w:rPr>
          <w:szCs w:val="20"/>
          <w:lang w:val="fr-FR"/>
        </w:rPr>
        <w:t xml:space="preserve"> à plus de 150 000 familles par semaine. Avec l</w:t>
      </w:r>
      <w:r w:rsidR="00424AB3" w:rsidRPr="000A77A4">
        <w:rPr>
          <w:szCs w:val="20"/>
          <w:lang w:val="fr-FR"/>
        </w:rPr>
        <w:t>a solution</w:t>
      </w:r>
      <w:r w:rsidRPr="000A77A4">
        <w:rPr>
          <w:szCs w:val="20"/>
          <w:lang w:val="fr-FR"/>
        </w:rPr>
        <w:t xml:space="preserve"> FlashPick® </w:t>
      </w:r>
      <w:r w:rsidR="00D510B9" w:rsidRPr="000A77A4">
        <w:rPr>
          <w:szCs w:val="20"/>
          <w:lang w:val="fr-FR"/>
        </w:rPr>
        <w:t>de TGW</w:t>
      </w:r>
      <w:r w:rsidR="00424AB3" w:rsidRPr="000A77A4">
        <w:rPr>
          <w:szCs w:val="20"/>
          <w:lang w:val="fr-FR"/>
        </w:rPr>
        <w:t>,</w:t>
      </w:r>
      <w:r w:rsidR="00D510B9" w:rsidRPr="000A77A4">
        <w:rPr>
          <w:szCs w:val="20"/>
          <w:lang w:val="fr-FR"/>
        </w:rPr>
        <w:t xml:space="preserve"> </w:t>
      </w:r>
      <w:r w:rsidRPr="000A77A4">
        <w:rPr>
          <w:szCs w:val="20"/>
          <w:lang w:val="fr-FR"/>
        </w:rPr>
        <w:t xml:space="preserve">Picnic </w:t>
      </w:r>
      <w:r w:rsidR="00D510B9" w:rsidRPr="000A77A4">
        <w:rPr>
          <w:szCs w:val="20"/>
          <w:lang w:val="fr-FR"/>
        </w:rPr>
        <w:t xml:space="preserve">est </w:t>
      </w:r>
      <w:r w:rsidR="00B2743D" w:rsidRPr="000A77A4">
        <w:rPr>
          <w:szCs w:val="20"/>
          <w:lang w:val="fr-FR"/>
        </w:rPr>
        <w:t>armée pour</w:t>
      </w:r>
      <w:r w:rsidR="00D510B9" w:rsidRPr="000A77A4">
        <w:rPr>
          <w:szCs w:val="20"/>
          <w:lang w:val="fr-FR"/>
        </w:rPr>
        <w:t xml:space="preserve"> répondre à</w:t>
      </w:r>
      <w:r w:rsidRPr="000A77A4">
        <w:rPr>
          <w:szCs w:val="20"/>
          <w:lang w:val="fr-FR"/>
        </w:rPr>
        <w:t xml:space="preserve"> la croissance des années à venir. L'élément central de la solution est un </w:t>
      </w:r>
      <w:r w:rsidR="00424AB3" w:rsidRPr="000A77A4">
        <w:rPr>
          <w:szCs w:val="20"/>
          <w:lang w:val="fr-FR"/>
        </w:rPr>
        <w:t>magasin automatique de</w:t>
      </w:r>
      <w:r w:rsidRPr="000A77A4">
        <w:rPr>
          <w:szCs w:val="20"/>
          <w:lang w:val="fr-FR"/>
        </w:rPr>
        <w:t xml:space="preserve"> navettes comprenant 40 allées et plus de 200 000 emplacements de stockage. Le système comprend également une technologie de convoyage KingDrive® à faible consommation d'énergie et des postes de travail de préparation de commandes PickCenter One ergonomiques. </w:t>
      </w:r>
    </w:p>
    <w:p w:rsidR="009F1EE7" w:rsidRPr="000A77A4" w:rsidRDefault="009F1EE7" w:rsidP="002E07B2">
      <w:pPr>
        <w:spacing w:line="360" w:lineRule="auto"/>
        <w:ind w:left="0" w:right="1695"/>
        <w:rPr>
          <w:szCs w:val="20"/>
          <w:lang w:val="fr-FR"/>
        </w:rPr>
      </w:pPr>
    </w:p>
    <w:p w:rsidR="009F1EE7" w:rsidRPr="000A77A4" w:rsidRDefault="009F1EE7" w:rsidP="002E07B2">
      <w:pPr>
        <w:spacing w:line="360" w:lineRule="auto"/>
        <w:ind w:left="0" w:right="1695"/>
        <w:rPr>
          <w:szCs w:val="20"/>
          <w:lang w:val="fr-FR"/>
        </w:rPr>
      </w:pPr>
      <w:r w:rsidRPr="000A77A4">
        <w:rPr>
          <w:szCs w:val="20"/>
          <w:lang w:val="fr-FR"/>
        </w:rPr>
        <w:t>Le centre</w:t>
      </w:r>
      <w:r w:rsidR="00B2743D" w:rsidRPr="000A77A4">
        <w:rPr>
          <w:szCs w:val="20"/>
          <w:lang w:val="fr-FR"/>
        </w:rPr>
        <w:t xml:space="preserve"> logistique</w:t>
      </w:r>
      <w:r w:rsidRPr="000A77A4">
        <w:rPr>
          <w:szCs w:val="20"/>
          <w:lang w:val="fr-FR"/>
        </w:rPr>
        <w:t xml:space="preserve"> de Picnic est divisé en plusieurs zones de température</w:t>
      </w:r>
      <w:r w:rsidR="000A77A4" w:rsidRPr="000A77A4">
        <w:rPr>
          <w:szCs w:val="20"/>
          <w:lang w:val="fr-FR"/>
        </w:rPr>
        <w:t>, ce</w:t>
      </w:r>
      <w:r w:rsidR="00B2743D" w:rsidRPr="000A77A4">
        <w:rPr>
          <w:szCs w:val="20"/>
          <w:lang w:val="fr-FR"/>
        </w:rPr>
        <w:t xml:space="preserve"> qui permet une préparation optimisée des produits</w:t>
      </w:r>
      <w:r w:rsidR="000A77A4" w:rsidRPr="000A77A4">
        <w:rPr>
          <w:szCs w:val="20"/>
          <w:lang w:val="fr-FR"/>
        </w:rPr>
        <w:t xml:space="preserve"> </w:t>
      </w:r>
      <w:r w:rsidRPr="000A77A4">
        <w:rPr>
          <w:szCs w:val="20"/>
          <w:lang w:val="fr-FR"/>
        </w:rPr>
        <w:t>: température</w:t>
      </w:r>
      <w:r w:rsidR="00D510B9" w:rsidRPr="000A77A4">
        <w:rPr>
          <w:szCs w:val="20"/>
          <w:lang w:val="fr-FR"/>
        </w:rPr>
        <w:t>s</w:t>
      </w:r>
      <w:r w:rsidRPr="000A77A4">
        <w:rPr>
          <w:szCs w:val="20"/>
          <w:lang w:val="fr-FR"/>
        </w:rPr>
        <w:t xml:space="preserve"> </w:t>
      </w:r>
      <w:r w:rsidR="00D510B9" w:rsidRPr="000A77A4">
        <w:rPr>
          <w:szCs w:val="20"/>
          <w:lang w:val="fr-FR"/>
        </w:rPr>
        <w:t xml:space="preserve">ambiante, </w:t>
      </w:r>
      <w:r w:rsidRPr="000A77A4">
        <w:rPr>
          <w:szCs w:val="20"/>
          <w:lang w:val="fr-FR"/>
        </w:rPr>
        <w:t>réfrigéré</w:t>
      </w:r>
      <w:r w:rsidR="00D510B9" w:rsidRPr="000A77A4">
        <w:rPr>
          <w:szCs w:val="20"/>
          <w:lang w:val="fr-FR"/>
        </w:rPr>
        <w:t>e</w:t>
      </w:r>
      <w:r w:rsidRPr="000A77A4">
        <w:rPr>
          <w:szCs w:val="20"/>
          <w:lang w:val="fr-FR"/>
        </w:rPr>
        <w:t xml:space="preserve"> et </w:t>
      </w:r>
      <w:r w:rsidR="00D510B9" w:rsidRPr="000A77A4">
        <w:rPr>
          <w:szCs w:val="20"/>
          <w:lang w:val="fr-FR"/>
        </w:rPr>
        <w:t>surgelée</w:t>
      </w:r>
      <w:r w:rsidRPr="000A77A4">
        <w:rPr>
          <w:szCs w:val="20"/>
          <w:lang w:val="fr-FR"/>
        </w:rPr>
        <w:t>. Cela rend la planification et la mise en œuvre particulièrement difficiles. Les marchandises livrées sont en grande partie stockées dans l</w:t>
      </w:r>
      <w:r w:rsidR="00E6301C" w:rsidRPr="000A77A4">
        <w:rPr>
          <w:szCs w:val="20"/>
          <w:lang w:val="fr-FR"/>
        </w:rPr>
        <w:t>e système shuttle</w:t>
      </w:r>
      <w:r w:rsidRPr="000A77A4">
        <w:rPr>
          <w:szCs w:val="20"/>
          <w:lang w:val="fr-FR"/>
        </w:rPr>
        <w:t xml:space="preserve">. Les commandes des clients commencent soit dans la zone de prélèvement </w:t>
      </w:r>
      <w:r w:rsidR="00B2743D" w:rsidRPr="000A77A4">
        <w:rPr>
          <w:szCs w:val="20"/>
          <w:lang w:val="fr-FR"/>
        </w:rPr>
        <w:t>manuel</w:t>
      </w:r>
      <w:r w:rsidRPr="000A77A4">
        <w:rPr>
          <w:szCs w:val="20"/>
          <w:lang w:val="fr-FR"/>
        </w:rPr>
        <w:t xml:space="preserve">, soit à </w:t>
      </w:r>
      <w:r w:rsidRPr="000A77A4">
        <w:rPr>
          <w:szCs w:val="20"/>
          <w:lang w:val="fr-FR"/>
        </w:rPr>
        <w:lastRenderedPageBreak/>
        <w:t xml:space="preserve">l'un des postes de </w:t>
      </w:r>
      <w:r w:rsidR="00E6301C" w:rsidRPr="000A77A4">
        <w:rPr>
          <w:szCs w:val="20"/>
          <w:lang w:val="fr-FR"/>
        </w:rPr>
        <w:t>picking du</w:t>
      </w:r>
      <w:r w:rsidRPr="000A77A4">
        <w:rPr>
          <w:szCs w:val="20"/>
          <w:lang w:val="fr-FR"/>
        </w:rPr>
        <w:t xml:space="preserve"> PickCenter One. Les commande</w:t>
      </w:r>
      <w:r w:rsidR="00E6301C" w:rsidRPr="000A77A4">
        <w:rPr>
          <w:szCs w:val="20"/>
          <w:lang w:val="fr-FR"/>
        </w:rPr>
        <w:t>s sont ensuite stockées dans le shuttle</w:t>
      </w:r>
      <w:r w:rsidRPr="000A77A4">
        <w:rPr>
          <w:szCs w:val="20"/>
          <w:lang w:val="fr-FR"/>
        </w:rPr>
        <w:t xml:space="preserve"> pour être consolidées. Grâce à cette nouvelle solution, la quantité de déchets alimentaires et de déchets d'emballage peut être réduite durablement. 20 000 m² de panneaux solaires sont utilisés pour </w:t>
      </w:r>
      <w:r w:rsidR="00E6301C" w:rsidRPr="000A77A4">
        <w:rPr>
          <w:szCs w:val="20"/>
          <w:lang w:val="fr-FR"/>
        </w:rPr>
        <w:t>une</w:t>
      </w:r>
      <w:r w:rsidRPr="000A77A4">
        <w:rPr>
          <w:szCs w:val="20"/>
          <w:lang w:val="fr-FR"/>
        </w:rPr>
        <w:t xml:space="preserve"> production d'énergie respectueuse de l'environnement. Picnic fait ainsi un grand pas vers une </w:t>
      </w:r>
      <w:r w:rsidR="00E6301C" w:rsidRPr="000A77A4">
        <w:rPr>
          <w:szCs w:val="20"/>
          <w:lang w:val="fr-FR"/>
        </w:rPr>
        <w:t>supply chain</w:t>
      </w:r>
      <w:r w:rsidRPr="000A77A4">
        <w:rPr>
          <w:szCs w:val="20"/>
          <w:lang w:val="fr-FR"/>
        </w:rPr>
        <w:t xml:space="preserve"> durable dans le secteur alimentaire.</w:t>
      </w:r>
    </w:p>
    <w:p w:rsidR="009F1EE7" w:rsidRPr="009F1EE7" w:rsidRDefault="009F1EE7" w:rsidP="002E07B2">
      <w:pPr>
        <w:spacing w:line="360" w:lineRule="auto"/>
        <w:ind w:left="0" w:right="1695"/>
        <w:rPr>
          <w:szCs w:val="20"/>
          <w:lang w:val="fr-FR"/>
        </w:rPr>
      </w:pPr>
    </w:p>
    <w:p w:rsidR="009F1EE7" w:rsidRPr="009F1EE7" w:rsidRDefault="009F1EE7" w:rsidP="002E07B2">
      <w:pPr>
        <w:spacing w:line="360" w:lineRule="auto"/>
        <w:ind w:left="0" w:right="1695"/>
        <w:rPr>
          <w:szCs w:val="20"/>
          <w:lang w:val="fr-FR"/>
        </w:rPr>
      </w:pPr>
      <w:r w:rsidRPr="009F1EE7">
        <w:rPr>
          <w:szCs w:val="20"/>
          <w:lang w:val="fr-FR"/>
        </w:rPr>
        <w:t>Le co-fondateur de Picnic, Frederik Nieuwenhuys, souligne : "Le centre de distribution robotisé, combiné aux véhicules de livraison électriques, constitue la base de notre concept "du producteur au consommateur". Nous utilisons la technologie Picnic pour apporter des produits frais directement au domicile de nos clients - sans frais de livraison. Le partenariat avec TGW, l'un des principaux fournisseurs internationaux de solutions intralogistiques hautement automatisées, réunit deux équipes ayant une connaissance approfondie des nouvelles technologies et des logiciels".</w:t>
      </w:r>
    </w:p>
    <w:p w:rsidR="009F1EE7" w:rsidRPr="009F1EE7" w:rsidRDefault="009F1EE7" w:rsidP="002E07B2">
      <w:pPr>
        <w:spacing w:line="360" w:lineRule="auto"/>
        <w:ind w:left="0" w:right="1695"/>
        <w:rPr>
          <w:b/>
          <w:szCs w:val="20"/>
          <w:lang w:val="fr-FR"/>
        </w:rPr>
      </w:pPr>
    </w:p>
    <w:p w:rsidR="009F1EE7" w:rsidRPr="009F1EE7" w:rsidRDefault="009F1EE7" w:rsidP="002E07B2">
      <w:pPr>
        <w:spacing w:line="360" w:lineRule="auto"/>
        <w:ind w:left="0" w:right="1695"/>
        <w:rPr>
          <w:b/>
          <w:szCs w:val="20"/>
          <w:lang w:val="fr-FR"/>
        </w:rPr>
      </w:pPr>
      <w:r w:rsidRPr="009F1EE7">
        <w:rPr>
          <w:b/>
          <w:szCs w:val="20"/>
          <w:lang w:val="fr-FR"/>
        </w:rPr>
        <w:t>Chargement assisté par robot</w:t>
      </w:r>
    </w:p>
    <w:p w:rsidR="009F1EE7" w:rsidRPr="009F1EE7" w:rsidRDefault="009F1EE7" w:rsidP="002E07B2">
      <w:pPr>
        <w:spacing w:line="360" w:lineRule="auto"/>
        <w:ind w:left="0" w:right="1695"/>
        <w:rPr>
          <w:b/>
          <w:szCs w:val="20"/>
          <w:lang w:val="fr-FR"/>
        </w:rPr>
      </w:pPr>
    </w:p>
    <w:p w:rsidR="009F1EE7" w:rsidRPr="009F1EE7" w:rsidRDefault="009F1EE7" w:rsidP="002E07B2">
      <w:pPr>
        <w:spacing w:line="360" w:lineRule="auto"/>
        <w:ind w:left="0" w:right="1695"/>
        <w:rPr>
          <w:szCs w:val="20"/>
          <w:lang w:val="fr-FR"/>
        </w:rPr>
      </w:pPr>
      <w:r w:rsidRPr="009F1EE7">
        <w:rPr>
          <w:szCs w:val="20"/>
          <w:lang w:val="fr-FR"/>
        </w:rPr>
        <w:t xml:space="preserve">Le système de chargement robotisé développé par TGW Robotics </w:t>
      </w:r>
      <w:r w:rsidR="00E6301C">
        <w:rPr>
          <w:szCs w:val="20"/>
          <w:lang w:val="fr-FR"/>
        </w:rPr>
        <w:t>et</w:t>
      </w:r>
      <w:r w:rsidRPr="009F1EE7">
        <w:rPr>
          <w:szCs w:val="20"/>
          <w:lang w:val="fr-FR"/>
        </w:rPr>
        <w:t xml:space="preserve"> Picnic permet de charger et de décharger rapidement les véhicules de livraison électriques. "Un projet stimulant mais encore plus passionnant est en train de devenir réalité. Le centre de distribution est une étape importante et marque un nouveau niveau dans la coopération entre Picnic et TGW", est heureux d'annoncer David Hibbett, PDG de TGW Europe du Nord.</w:t>
      </w:r>
    </w:p>
    <w:p w:rsidR="009F1EE7" w:rsidRDefault="009F1EE7" w:rsidP="002E07B2">
      <w:pPr>
        <w:spacing w:line="240" w:lineRule="auto"/>
        <w:ind w:left="0" w:right="1693"/>
        <w:rPr>
          <w:b/>
          <w:sz w:val="28"/>
          <w:szCs w:val="28"/>
          <w:lang w:val="fr-FR"/>
        </w:rPr>
      </w:pPr>
    </w:p>
    <w:p w:rsidR="002E07B2" w:rsidRDefault="002E07B2" w:rsidP="002E07B2">
      <w:pPr>
        <w:spacing w:line="240" w:lineRule="auto"/>
        <w:ind w:left="0" w:right="1693"/>
        <w:rPr>
          <w:b/>
          <w:sz w:val="28"/>
          <w:szCs w:val="28"/>
          <w:lang w:val="fr-FR"/>
        </w:rPr>
      </w:pPr>
    </w:p>
    <w:p w:rsidR="002E07B2" w:rsidRDefault="002E07B2" w:rsidP="002E07B2">
      <w:pPr>
        <w:spacing w:line="240" w:lineRule="auto"/>
        <w:ind w:left="0" w:right="1693"/>
        <w:rPr>
          <w:b/>
          <w:sz w:val="28"/>
          <w:szCs w:val="28"/>
          <w:lang w:val="fr-FR"/>
        </w:rPr>
      </w:pPr>
    </w:p>
    <w:p w:rsidR="002E07B2" w:rsidRPr="009F1EE7" w:rsidRDefault="002E07B2" w:rsidP="002E07B2">
      <w:pPr>
        <w:spacing w:line="240" w:lineRule="auto"/>
        <w:ind w:left="0" w:right="1693"/>
        <w:rPr>
          <w:b/>
          <w:sz w:val="28"/>
          <w:szCs w:val="28"/>
          <w:lang w:val="fr-FR"/>
        </w:rPr>
      </w:pPr>
    </w:p>
    <w:p w:rsidR="002E07B2" w:rsidRDefault="006674AE" w:rsidP="002E07B2">
      <w:pPr>
        <w:spacing w:line="240" w:lineRule="auto"/>
        <w:ind w:left="0" w:right="1693"/>
        <w:rPr>
          <w:rStyle w:val="Hyperlink"/>
          <w:rFonts w:cs="Arial"/>
          <w:lang w:val="fr-FR"/>
        </w:rPr>
      </w:pPr>
      <w:hyperlink r:id="rId8" w:history="1">
        <w:r w:rsidR="00560A7A" w:rsidRPr="00D6445D">
          <w:rPr>
            <w:rStyle w:val="Hyperlink"/>
            <w:rFonts w:cs="Arial"/>
            <w:lang w:val="fr-FR"/>
          </w:rPr>
          <w:t>www.tgw-group.com</w:t>
        </w:r>
      </w:hyperlink>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2E07B2" w:rsidRDefault="002E07B2" w:rsidP="002E07B2">
      <w:pPr>
        <w:spacing w:line="240" w:lineRule="auto"/>
        <w:ind w:left="0" w:right="1693"/>
        <w:rPr>
          <w:rStyle w:val="Hyperlink"/>
          <w:rFonts w:cs="Arial"/>
          <w:lang w:val="fr-FR"/>
        </w:rPr>
      </w:pPr>
    </w:p>
    <w:p w:rsidR="00560A7A" w:rsidRPr="00D6445D" w:rsidRDefault="00560A7A" w:rsidP="002E07B2">
      <w:pPr>
        <w:spacing w:line="240" w:lineRule="auto"/>
        <w:ind w:left="0" w:right="1693"/>
        <w:rPr>
          <w:rStyle w:val="Hyperlink"/>
          <w:rFonts w:cs="Arial"/>
          <w:color w:val="auto"/>
          <w:u w:val="none"/>
          <w:lang w:val="fr-FR"/>
        </w:rPr>
      </w:pPr>
      <w:r w:rsidRPr="00D6445D">
        <w:rPr>
          <w:rStyle w:val="Hyperlink"/>
          <w:rFonts w:cs="Arial"/>
          <w:color w:val="auto"/>
          <w:u w:val="none"/>
          <w:lang w:val="fr-FR"/>
        </w:rPr>
        <w:lastRenderedPageBreak/>
        <w:br/>
      </w:r>
    </w:p>
    <w:p w:rsidR="00167C23" w:rsidRPr="00EF3956" w:rsidRDefault="00167C23" w:rsidP="002E07B2">
      <w:pPr>
        <w:pStyle w:val="StandardWeb"/>
        <w:shd w:val="clear" w:color="auto" w:fill="FFFFFF"/>
        <w:spacing w:before="0" w:beforeAutospacing="0" w:after="0" w:afterAutospacing="0" w:line="360" w:lineRule="auto"/>
        <w:ind w:right="1693"/>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2E07B2">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2E07B2">
      <w:pPr>
        <w:shd w:val="clear" w:color="auto" w:fill="FFFFFF"/>
        <w:spacing w:line="240" w:lineRule="auto"/>
        <w:ind w:left="0" w:right="1693"/>
        <w:rPr>
          <w:rFonts w:eastAsia="Times New Roman" w:cs="Arial"/>
          <w:szCs w:val="20"/>
          <w:lang w:val="fr-FR" w:eastAsia="fr-FR"/>
        </w:rPr>
      </w:pPr>
      <w:r w:rsidRPr="00EF3956">
        <w:rPr>
          <w:rFonts w:eastAsia="Times New Roman" w:cs="Arial"/>
          <w:szCs w:val="20"/>
          <w:lang w:val="fr-FR" w:eastAsia="fr-FR"/>
        </w:rPr>
        <w:t xml:space="preserve">Avec </w:t>
      </w:r>
      <w:r w:rsidR="00026559">
        <w:rPr>
          <w:rFonts w:eastAsia="Times New Roman" w:cs="Arial"/>
          <w:szCs w:val="20"/>
          <w:lang w:val="fr-FR" w:eastAsia="fr-FR"/>
        </w:rPr>
        <w:t>plus</w:t>
      </w:r>
      <w:r w:rsidRPr="00EF3956">
        <w:rPr>
          <w:rFonts w:eastAsia="Times New Roman" w:cs="Arial"/>
          <w:szCs w:val="20"/>
          <w:lang w:val="fr-FR" w:eastAsia="fr-FR"/>
        </w:rPr>
        <w:t xml:space="preserve"> </w:t>
      </w:r>
      <w:r w:rsidR="00026559">
        <w:rPr>
          <w:rFonts w:eastAsia="Times New Roman" w:cs="Arial"/>
          <w:szCs w:val="20"/>
          <w:lang w:val="fr-FR" w:eastAsia="fr-FR"/>
        </w:rPr>
        <w:t xml:space="preserve">de </w:t>
      </w:r>
      <w:r w:rsidRPr="00EF3956">
        <w:rPr>
          <w:rFonts w:eastAsia="Times New Roman" w:cs="Arial"/>
          <w:szCs w:val="20"/>
          <w:lang w:val="fr-FR" w:eastAsia="fr-FR"/>
        </w:rPr>
        <w:t xml:space="preserve">3 </w:t>
      </w:r>
      <w:r w:rsidR="009C75CC">
        <w:rPr>
          <w:rFonts w:eastAsia="Times New Roman" w:cs="Arial"/>
          <w:szCs w:val="20"/>
          <w:lang w:val="fr-FR" w:eastAsia="fr-FR"/>
        </w:rPr>
        <w:t>7</w:t>
      </w:r>
      <w:r w:rsidRPr="00EF3956">
        <w:rPr>
          <w:rFonts w:eastAsia="Times New Roman" w:cs="Arial"/>
          <w:szCs w:val="20"/>
          <w:lang w:val="fr-FR" w:eastAsia="fr-FR"/>
        </w:rPr>
        <w:t>00 employés, TGW Logistics Group fabrique en Autriche et dispose de filiales en Europe, en Chine et aux Etats-U</w:t>
      </w:r>
      <w:r w:rsidR="00026559">
        <w:rPr>
          <w:rFonts w:eastAsia="Times New Roman" w:cs="Arial"/>
          <w:szCs w:val="20"/>
          <w:lang w:val="fr-FR" w:eastAsia="fr-FR"/>
        </w:rPr>
        <w:t>nis. Au cours de l'exercice 2018/2019</w:t>
      </w:r>
      <w:r w:rsidRPr="00EF3956">
        <w:rPr>
          <w:rFonts w:eastAsia="Times New Roman" w:cs="Arial"/>
          <w:szCs w:val="20"/>
          <w:lang w:val="fr-FR" w:eastAsia="fr-FR"/>
        </w:rPr>
        <w:t>, TGW Logistics Group a réalisé un chiffre d'affaires de 7</w:t>
      </w:r>
      <w:r w:rsidR="00026559">
        <w:rPr>
          <w:rFonts w:eastAsia="Times New Roman" w:cs="Arial"/>
          <w:szCs w:val="20"/>
          <w:lang w:val="fr-FR" w:eastAsia="fr-FR"/>
        </w:rPr>
        <w:t>20</w:t>
      </w:r>
      <w:r w:rsidRPr="00EF3956">
        <w:rPr>
          <w:rFonts w:eastAsia="Times New Roman" w:cs="Arial"/>
          <w:szCs w:val="20"/>
          <w:lang w:val="fr-FR" w:eastAsia="fr-FR"/>
        </w:rPr>
        <w:t xml:space="preserve"> millions d'euros.</w:t>
      </w:r>
    </w:p>
    <w:p w:rsidR="00167C23" w:rsidRPr="00EF3956" w:rsidRDefault="00167C23" w:rsidP="002E07B2">
      <w:pPr>
        <w:spacing w:line="240" w:lineRule="auto"/>
        <w:ind w:left="0" w:right="1693"/>
        <w:rPr>
          <w:rFonts w:cs="Arial"/>
          <w:szCs w:val="20"/>
          <w:lang w:val="fr-FR"/>
        </w:rPr>
      </w:pPr>
    </w:p>
    <w:p w:rsidR="00167C23" w:rsidRPr="00EF3956" w:rsidRDefault="00167C23" w:rsidP="002E07B2">
      <w:pPr>
        <w:spacing w:line="240" w:lineRule="auto"/>
        <w:ind w:left="0" w:right="1693"/>
        <w:rPr>
          <w:rFonts w:cs="Arial"/>
          <w:b/>
          <w:szCs w:val="20"/>
          <w:lang w:val="fr-FR"/>
        </w:rPr>
      </w:pPr>
      <w:r w:rsidRPr="00EF3956">
        <w:rPr>
          <w:rFonts w:cs="Arial"/>
          <w:b/>
          <w:szCs w:val="20"/>
          <w:lang w:val="fr-FR"/>
        </w:rPr>
        <w:t>Photos :</w:t>
      </w:r>
    </w:p>
    <w:p w:rsidR="00167C23" w:rsidRPr="00EF3956" w:rsidRDefault="00167C23" w:rsidP="002E07B2">
      <w:pPr>
        <w:spacing w:line="240" w:lineRule="auto"/>
        <w:ind w:left="0" w:right="1693"/>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2E07B2">
      <w:pPr>
        <w:spacing w:line="240" w:lineRule="auto"/>
        <w:ind w:left="0" w:right="1693"/>
        <w:rPr>
          <w:rFonts w:cs="Arial"/>
          <w:szCs w:val="20"/>
          <w:lang w:val="fr-FR"/>
        </w:rPr>
      </w:pPr>
    </w:p>
    <w:p w:rsidR="00167C23" w:rsidRDefault="00167C23" w:rsidP="002E07B2">
      <w:pPr>
        <w:spacing w:line="240" w:lineRule="auto"/>
        <w:ind w:left="0" w:right="1693"/>
        <w:rPr>
          <w:rFonts w:cs="Arial"/>
          <w:b/>
          <w:szCs w:val="20"/>
          <w:lang w:val="en-US"/>
        </w:rPr>
      </w:pPr>
      <w:r w:rsidRPr="00EF3956">
        <w:rPr>
          <w:rFonts w:cs="Arial"/>
          <w:b/>
          <w:szCs w:val="20"/>
          <w:lang w:val="en-US"/>
        </w:rPr>
        <w:t>Contact</w:t>
      </w:r>
    </w:p>
    <w:p w:rsidR="00127A6B" w:rsidRDefault="00127A6B" w:rsidP="002E07B2">
      <w:pPr>
        <w:spacing w:line="240" w:lineRule="auto"/>
        <w:ind w:left="0" w:right="1693"/>
        <w:rPr>
          <w:rFonts w:cs="Arial"/>
          <w:b/>
          <w:szCs w:val="20"/>
          <w:lang w:val="en-US"/>
        </w:rPr>
      </w:pPr>
    </w:p>
    <w:p w:rsidR="002E07B2" w:rsidRPr="00127A6B" w:rsidRDefault="002E07B2" w:rsidP="002E07B2">
      <w:pPr>
        <w:spacing w:line="240" w:lineRule="auto"/>
        <w:ind w:left="0" w:right="1693"/>
        <w:rPr>
          <w:rFonts w:cs="Arial"/>
          <w:szCs w:val="20"/>
          <w:lang w:val="en-AU"/>
        </w:rPr>
      </w:pPr>
      <w:r w:rsidRPr="00127A6B">
        <w:rPr>
          <w:rFonts w:cs="Arial"/>
          <w:szCs w:val="20"/>
          <w:lang w:val="en-AU"/>
        </w:rPr>
        <w:t>Alexander Tahedl</w:t>
      </w:r>
    </w:p>
    <w:p w:rsidR="002E07B2" w:rsidRPr="00EF3956" w:rsidRDefault="002E07B2" w:rsidP="002E07B2">
      <w:pPr>
        <w:spacing w:line="240" w:lineRule="auto"/>
        <w:ind w:left="0" w:right="1693"/>
        <w:rPr>
          <w:rFonts w:cs="Arial"/>
          <w:szCs w:val="20"/>
          <w:lang w:val="en-US"/>
        </w:rPr>
      </w:pPr>
      <w:r>
        <w:rPr>
          <w:rFonts w:cs="Arial"/>
          <w:szCs w:val="20"/>
          <w:lang w:val="en-US"/>
        </w:rPr>
        <w:t>Communications</w:t>
      </w:r>
      <w:r w:rsidRPr="00EF3956">
        <w:rPr>
          <w:rFonts w:cs="Arial"/>
          <w:szCs w:val="20"/>
          <w:lang w:val="en-US"/>
        </w:rPr>
        <w:t xml:space="preserve"> Specialist</w:t>
      </w:r>
    </w:p>
    <w:p w:rsidR="002E07B2" w:rsidRPr="00EF3956" w:rsidRDefault="002E07B2" w:rsidP="002E07B2">
      <w:pPr>
        <w:spacing w:line="240" w:lineRule="auto"/>
        <w:ind w:left="0" w:right="1693"/>
        <w:rPr>
          <w:rFonts w:cs="Arial"/>
          <w:szCs w:val="20"/>
          <w:lang w:val="en-US"/>
        </w:rPr>
      </w:pPr>
      <w:r w:rsidRPr="00EF3956">
        <w:rPr>
          <w:rFonts w:cs="Arial"/>
          <w:szCs w:val="20"/>
          <w:lang w:val="en-US"/>
        </w:rPr>
        <w:t>T: +43.(0)50.486-2267</w:t>
      </w:r>
    </w:p>
    <w:p w:rsidR="002E07B2" w:rsidRPr="00EF3956" w:rsidRDefault="002E07B2" w:rsidP="002E07B2">
      <w:pPr>
        <w:spacing w:line="240" w:lineRule="auto"/>
        <w:ind w:left="0" w:right="1693"/>
        <w:rPr>
          <w:rStyle w:val="Hyperlink"/>
          <w:rFonts w:cs="Arial"/>
          <w:color w:val="auto"/>
          <w:szCs w:val="20"/>
          <w:u w:val="none"/>
          <w:lang w:val="en-US"/>
        </w:rPr>
      </w:pPr>
      <w:r w:rsidRPr="00EF3956">
        <w:rPr>
          <w:rFonts w:cs="Arial"/>
          <w:szCs w:val="20"/>
          <w:lang w:val="en-US"/>
        </w:rPr>
        <w:t>alexander.tahedl@tgw-group.com</w:t>
      </w:r>
    </w:p>
    <w:p w:rsidR="00127A6B" w:rsidRDefault="00127A6B" w:rsidP="002E07B2">
      <w:pPr>
        <w:spacing w:line="240" w:lineRule="auto"/>
        <w:ind w:left="0" w:right="1693"/>
        <w:rPr>
          <w:rFonts w:cs="Arial"/>
          <w:b/>
          <w:szCs w:val="20"/>
          <w:lang w:val="en-US"/>
        </w:rPr>
      </w:pPr>
    </w:p>
    <w:p w:rsidR="00127A6B" w:rsidRPr="00EF3956" w:rsidRDefault="00127A6B" w:rsidP="002E07B2">
      <w:pPr>
        <w:spacing w:line="240" w:lineRule="auto"/>
        <w:ind w:left="0" w:right="1693"/>
        <w:rPr>
          <w:rFonts w:cs="Arial"/>
          <w:b/>
          <w:szCs w:val="20"/>
          <w:lang w:val="en-US"/>
        </w:rPr>
      </w:pPr>
    </w:p>
    <w:p w:rsidR="00167C23" w:rsidRPr="00EF3956" w:rsidRDefault="00167C23" w:rsidP="002E07B2">
      <w:pPr>
        <w:spacing w:line="240" w:lineRule="auto"/>
        <w:ind w:left="0" w:right="1693"/>
        <w:rPr>
          <w:rFonts w:cs="Arial"/>
          <w:szCs w:val="20"/>
          <w:lang w:val="en-US"/>
        </w:rPr>
      </w:pPr>
      <w:r w:rsidRPr="00EF3956">
        <w:rPr>
          <w:rFonts w:cs="Arial"/>
          <w:szCs w:val="20"/>
          <w:lang w:val="en-US"/>
        </w:rPr>
        <w:t>Martin Kirchmayr</w:t>
      </w:r>
    </w:p>
    <w:p w:rsidR="00167C23" w:rsidRPr="00EF3956" w:rsidRDefault="00167C23" w:rsidP="002E07B2">
      <w:pPr>
        <w:spacing w:line="240" w:lineRule="auto"/>
        <w:ind w:left="0" w:right="1693"/>
        <w:rPr>
          <w:rFonts w:cs="Arial"/>
          <w:szCs w:val="20"/>
          <w:lang w:val="en-US"/>
        </w:rPr>
      </w:pPr>
      <w:r w:rsidRPr="00EF3956">
        <w:rPr>
          <w:rFonts w:cs="Arial"/>
          <w:szCs w:val="20"/>
          <w:lang w:val="en-US"/>
        </w:rPr>
        <w:t>Director Marketing &amp; Communication</w:t>
      </w:r>
    </w:p>
    <w:p w:rsidR="00167C23" w:rsidRPr="00EF3956" w:rsidRDefault="00167C23" w:rsidP="002E07B2">
      <w:pPr>
        <w:spacing w:line="240" w:lineRule="auto"/>
        <w:ind w:left="0" w:right="1693"/>
        <w:rPr>
          <w:rFonts w:cs="Arial"/>
          <w:szCs w:val="20"/>
        </w:rPr>
      </w:pPr>
      <w:r w:rsidRPr="00EF3956">
        <w:rPr>
          <w:rFonts w:cs="Arial"/>
          <w:szCs w:val="20"/>
        </w:rPr>
        <w:t>T: +43.(0)50.486-1382</w:t>
      </w:r>
    </w:p>
    <w:p w:rsidR="00167C23" w:rsidRPr="00EF3956" w:rsidRDefault="00167C23" w:rsidP="002E07B2">
      <w:pPr>
        <w:spacing w:line="240" w:lineRule="auto"/>
        <w:ind w:left="0" w:right="1693"/>
        <w:rPr>
          <w:rFonts w:cs="Arial"/>
          <w:szCs w:val="20"/>
        </w:rPr>
      </w:pPr>
      <w:r w:rsidRPr="00EF3956">
        <w:rPr>
          <w:rFonts w:cs="Arial"/>
          <w:szCs w:val="20"/>
        </w:rPr>
        <w:t>M: +43.(0)664.8187423</w:t>
      </w:r>
    </w:p>
    <w:p w:rsidR="00167C23" w:rsidRPr="00EF3956" w:rsidRDefault="00167C23" w:rsidP="002E07B2">
      <w:pPr>
        <w:spacing w:line="240" w:lineRule="auto"/>
        <w:ind w:left="0" w:right="1693"/>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2E07B2" w:rsidRPr="00EF3956" w:rsidRDefault="002E07B2">
      <w:pPr>
        <w:spacing w:line="240" w:lineRule="auto"/>
        <w:ind w:left="0" w:right="165"/>
        <w:rPr>
          <w:rStyle w:val="Hyperlink"/>
          <w:rFonts w:cs="Arial"/>
          <w:color w:val="auto"/>
          <w:szCs w:val="20"/>
          <w:u w:val="none"/>
          <w:lang w:val="en-US"/>
        </w:rPr>
      </w:pPr>
    </w:p>
    <w:sectPr w:rsidR="002E07B2"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4AE" w:rsidRDefault="006674AE" w:rsidP="00764006">
      <w:pPr>
        <w:spacing w:line="240" w:lineRule="auto"/>
      </w:pPr>
      <w:r>
        <w:separator/>
      </w:r>
    </w:p>
  </w:endnote>
  <w:endnote w:type="continuationSeparator" w:id="0">
    <w:p w:rsidR="006674AE" w:rsidRDefault="006674A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FA6A7A">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FA6A7A">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4AE" w:rsidRDefault="006674AE" w:rsidP="00764006">
      <w:pPr>
        <w:spacing w:line="240" w:lineRule="auto"/>
      </w:pPr>
      <w:r>
        <w:separator/>
      </w:r>
    </w:p>
  </w:footnote>
  <w:footnote w:type="continuationSeparator" w:id="0">
    <w:p w:rsidR="006674AE" w:rsidRDefault="006674A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B807CD3"/>
    <w:multiLevelType w:val="hybridMultilevel"/>
    <w:tmpl w:val="18F259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6138CD"/>
    <w:multiLevelType w:val="hybridMultilevel"/>
    <w:tmpl w:val="B468A1E4"/>
    <w:lvl w:ilvl="0" w:tplc="006A2C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15:restartNumberingAfterBreak="0">
    <w:nsid w:val="4B8C7EE2"/>
    <w:multiLevelType w:val="hybridMultilevel"/>
    <w:tmpl w:val="F1062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3"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22"/>
  </w:num>
  <w:num w:numId="5">
    <w:abstractNumId w:val="24"/>
  </w:num>
  <w:num w:numId="6">
    <w:abstractNumId w:val="2"/>
  </w:num>
  <w:num w:numId="7">
    <w:abstractNumId w:val="0"/>
  </w:num>
  <w:num w:numId="8">
    <w:abstractNumId w:val="19"/>
  </w:num>
  <w:num w:numId="9">
    <w:abstractNumId w:val="3"/>
  </w:num>
  <w:num w:numId="10">
    <w:abstractNumId w:val="27"/>
  </w:num>
  <w:num w:numId="11">
    <w:abstractNumId w:val="10"/>
  </w:num>
  <w:num w:numId="12">
    <w:abstractNumId w:val="5"/>
  </w:num>
  <w:num w:numId="13">
    <w:abstractNumId w:val="7"/>
  </w:num>
  <w:num w:numId="14">
    <w:abstractNumId w:val="18"/>
  </w:num>
  <w:num w:numId="15">
    <w:abstractNumId w:val="30"/>
  </w:num>
  <w:num w:numId="16">
    <w:abstractNumId w:val="20"/>
  </w:num>
  <w:num w:numId="17">
    <w:abstractNumId w:val="12"/>
  </w:num>
  <w:num w:numId="18">
    <w:abstractNumId w:val="8"/>
  </w:num>
  <w:num w:numId="19">
    <w:abstractNumId w:val="29"/>
  </w:num>
  <w:num w:numId="20">
    <w:abstractNumId w:val="23"/>
  </w:num>
  <w:num w:numId="21">
    <w:abstractNumId w:val="26"/>
  </w:num>
  <w:num w:numId="22">
    <w:abstractNumId w:val="17"/>
  </w:num>
  <w:num w:numId="23">
    <w:abstractNumId w:val="25"/>
  </w:num>
  <w:num w:numId="24">
    <w:abstractNumId w:val="28"/>
  </w:num>
  <w:num w:numId="25">
    <w:abstractNumId w:val="4"/>
  </w:num>
  <w:num w:numId="26">
    <w:abstractNumId w:val="14"/>
  </w:num>
  <w:num w:numId="27">
    <w:abstractNumId w:val="1"/>
  </w:num>
  <w:num w:numId="28">
    <w:abstractNumId w:val="21"/>
  </w:num>
  <w:num w:numId="29">
    <w:abstractNumId w:val="15"/>
  </w:num>
  <w:num w:numId="30">
    <w:abstractNumId w:val="1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26559"/>
    <w:rsid w:val="000362EF"/>
    <w:rsid w:val="00036F7E"/>
    <w:rsid w:val="00045C9C"/>
    <w:rsid w:val="00045F47"/>
    <w:rsid w:val="00047282"/>
    <w:rsid w:val="000539CE"/>
    <w:rsid w:val="00053BBB"/>
    <w:rsid w:val="0007311D"/>
    <w:rsid w:val="00075D61"/>
    <w:rsid w:val="00085169"/>
    <w:rsid w:val="00086319"/>
    <w:rsid w:val="0009316E"/>
    <w:rsid w:val="00093ACC"/>
    <w:rsid w:val="00095936"/>
    <w:rsid w:val="000969D5"/>
    <w:rsid w:val="000A267E"/>
    <w:rsid w:val="000A4AC6"/>
    <w:rsid w:val="000A6CE7"/>
    <w:rsid w:val="000A77A4"/>
    <w:rsid w:val="000B140F"/>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285B"/>
    <w:rsid w:val="00114EE0"/>
    <w:rsid w:val="00125EE4"/>
    <w:rsid w:val="0012627D"/>
    <w:rsid w:val="00127A6B"/>
    <w:rsid w:val="00131A55"/>
    <w:rsid w:val="001325F4"/>
    <w:rsid w:val="001338DB"/>
    <w:rsid w:val="00142015"/>
    <w:rsid w:val="00142599"/>
    <w:rsid w:val="00142D0C"/>
    <w:rsid w:val="00146F55"/>
    <w:rsid w:val="00147C5F"/>
    <w:rsid w:val="001511F9"/>
    <w:rsid w:val="00152760"/>
    <w:rsid w:val="00155AE9"/>
    <w:rsid w:val="00157718"/>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3AAB"/>
    <w:rsid w:val="001C40DE"/>
    <w:rsid w:val="001C4100"/>
    <w:rsid w:val="001C65A9"/>
    <w:rsid w:val="001D1B8D"/>
    <w:rsid w:val="001D7887"/>
    <w:rsid w:val="001E6404"/>
    <w:rsid w:val="001F2A46"/>
    <w:rsid w:val="001F5D6D"/>
    <w:rsid w:val="001F5F3C"/>
    <w:rsid w:val="0020344F"/>
    <w:rsid w:val="00203677"/>
    <w:rsid w:val="002064DA"/>
    <w:rsid w:val="00212713"/>
    <w:rsid w:val="00220DA8"/>
    <w:rsid w:val="00223EA8"/>
    <w:rsid w:val="00224B1C"/>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E07B2"/>
    <w:rsid w:val="002E7C9B"/>
    <w:rsid w:val="002F551D"/>
    <w:rsid w:val="00307FE6"/>
    <w:rsid w:val="003107A7"/>
    <w:rsid w:val="00310975"/>
    <w:rsid w:val="00314A98"/>
    <w:rsid w:val="00320511"/>
    <w:rsid w:val="00322CCA"/>
    <w:rsid w:val="003327F2"/>
    <w:rsid w:val="0033365B"/>
    <w:rsid w:val="003367F4"/>
    <w:rsid w:val="00336D99"/>
    <w:rsid w:val="00343BB5"/>
    <w:rsid w:val="00345413"/>
    <w:rsid w:val="00347724"/>
    <w:rsid w:val="00353A88"/>
    <w:rsid w:val="00367F43"/>
    <w:rsid w:val="0037168C"/>
    <w:rsid w:val="00377F06"/>
    <w:rsid w:val="00382EDF"/>
    <w:rsid w:val="0038534C"/>
    <w:rsid w:val="00386B3D"/>
    <w:rsid w:val="0039100A"/>
    <w:rsid w:val="0039221F"/>
    <w:rsid w:val="00393349"/>
    <w:rsid w:val="003937AD"/>
    <w:rsid w:val="003A1305"/>
    <w:rsid w:val="003A234F"/>
    <w:rsid w:val="003A35D1"/>
    <w:rsid w:val="003A5CDA"/>
    <w:rsid w:val="003A6D30"/>
    <w:rsid w:val="003A7D0A"/>
    <w:rsid w:val="003B2F92"/>
    <w:rsid w:val="003B47D3"/>
    <w:rsid w:val="003B4ED2"/>
    <w:rsid w:val="003B509C"/>
    <w:rsid w:val="003B5271"/>
    <w:rsid w:val="003B5B33"/>
    <w:rsid w:val="003B62B4"/>
    <w:rsid w:val="003B7A94"/>
    <w:rsid w:val="003C0236"/>
    <w:rsid w:val="003C2788"/>
    <w:rsid w:val="003C28EE"/>
    <w:rsid w:val="003C45BF"/>
    <w:rsid w:val="003C747F"/>
    <w:rsid w:val="003E1FFC"/>
    <w:rsid w:val="003E3F4D"/>
    <w:rsid w:val="003E4DE9"/>
    <w:rsid w:val="003E6164"/>
    <w:rsid w:val="003F4923"/>
    <w:rsid w:val="004022C2"/>
    <w:rsid w:val="004031B0"/>
    <w:rsid w:val="00403630"/>
    <w:rsid w:val="004104A8"/>
    <w:rsid w:val="00410BEF"/>
    <w:rsid w:val="00414E36"/>
    <w:rsid w:val="00421BE2"/>
    <w:rsid w:val="004242C5"/>
    <w:rsid w:val="00424AB3"/>
    <w:rsid w:val="004265B6"/>
    <w:rsid w:val="004272DB"/>
    <w:rsid w:val="00427466"/>
    <w:rsid w:val="004277EE"/>
    <w:rsid w:val="00431015"/>
    <w:rsid w:val="0043387C"/>
    <w:rsid w:val="00434783"/>
    <w:rsid w:val="00435FDF"/>
    <w:rsid w:val="00440DC9"/>
    <w:rsid w:val="00451FDA"/>
    <w:rsid w:val="00456A9F"/>
    <w:rsid w:val="004610E8"/>
    <w:rsid w:val="0046180E"/>
    <w:rsid w:val="00462574"/>
    <w:rsid w:val="00463BC2"/>
    <w:rsid w:val="00464F70"/>
    <w:rsid w:val="00466A74"/>
    <w:rsid w:val="004713CE"/>
    <w:rsid w:val="004746BE"/>
    <w:rsid w:val="0047613B"/>
    <w:rsid w:val="00480198"/>
    <w:rsid w:val="004832B0"/>
    <w:rsid w:val="00483405"/>
    <w:rsid w:val="00494C82"/>
    <w:rsid w:val="00495D70"/>
    <w:rsid w:val="00497686"/>
    <w:rsid w:val="004A3FD4"/>
    <w:rsid w:val="004B03A1"/>
    <w:rsid w:val="004B219C"/>
    <w:rsid w:val="004B3F79"/>
    <w:rsid w:val="004B74C4"/>
    <w:rsid w:val="004C1AD1"/>
    <w:rsid w:val="004C5917"/>
    <w:rsid w:val="004C6B87"/>
    <w:rsid w:val="004F6ECF"/>
    <w:rsid w:val="0050153C"/>
    <w:rsid w:val="005025FE"/>
    <w:rsid w:val="0050450E"/>
    <w:rsid w:val="00510F4B"/>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0767"/>
    <w:rsid w:val="005C1419"/>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2D69"/>
    <w:rsid w:val="0063405C"/>
    <w:rsid w:val="006437FF"/>
    <w:rsid w:val="00643CDE"/>
    <w:rsid w:val="00653944"/>
    <w:rsid w:val="00655843"/>
    <w:rsid w:val="006606C6"/>
    <w:rsid w:val="00660B22"/>
    <w:rsid w:val="00664198"/>
    <w:rsid w:val="006674AE"/>
    <w:rsid w:val="0067197F"/>
    <w:rsid w:val="0067659E"/>
    <w:rsid w:val="00676996"/>
    <w:rsid w:val="00677B13"/>
    <w:rsid w:val="006955DC"/>
    <w:rsid w:val="006973DA"/>
    <w:rsid w:val="006A109C"/>
    <w:rsid w:val="006A2204"/>
    <w:rsid w:val="006A2917"/>
    <w:rsid w:val="006A31DC"/>
    <w:rsid w:val="006B07F5"/>
    <w:rsid w:val="006B28AB"/>
    <w:rsid w:val="006B29B2"/>
    <w:rsid w:val="006B4E87"/>
    <w:rsid w:val="006B7887"/>
    <w:rsid w:val="006C2268"/>
    <w:rsid w:val="006C79BB"/>
    <w:rsid w:val="006D240C"/>
    <w:rsid w:val="006D5FD7"/>
    <w:rsid w:val="006D7ABD"/>
    <w:rsid w:val="006E1347"/>
    <w:rsid w:val="006E3CD3"/>
    <w:rsid w:val="006E59D4"/>
    <w:rsid w:val="006F0740"/>
    <w:rsid w:val="006F07A4"/>
    <w:rsid w:val="006F4F34"/>
    <w:rsid w:val="007003DA"/>
    <w:rsid w:val="00704BFD"/>
    <w:rsid w:val="007058A0"/>
    <w:rsid w:val="0071184A"/>
    <w:rsid w:val="00717774"/>
    <w:rsid w:val="00721111"/>
    <w:rsid w:val="00722C1F"/>
    <w:rsid w:val="0072360D"/>
    <w:rsid w:val="007303A5"/>
    <w:rsid w:val="007317B6"/>
    <w:rsid w:val="00733C81"/>
    <w:rsid w:val="007344D8"/>
    <w:rsid w:val="00736955"/>
    <w:rsid w:val="00740CEB"/>
    <w:rsid w:val="00742585"/>
    <w:rsid w:val="007434DE"/>
    <w:rsid w:val="00743B0E"/>
    <w:rsid w:val="007442EB"/>
    <w:rsid w:val="007475F0"/>
    <w:rsid w:val="007502BB"/>
    <w:rsid w:val="00750CD8"/>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953F6"/>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478E"/>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C75CC"/>
    <w:rsid w:val="009D1BC4"/>
    <w:rsid w:val="009D2560"/>
    <w:rsid w:val="009D685A"/>
    <w:rsid w:val="009E037A"/>
    <w:rsid w:val="009E2033"/>
    <w:rsid w:val="009E4C9B"/>
    <w:rsid w:val="009E735E"/>
    <w:rsid w:val="009E79F0"/>
    <w:rsid w:val="009F1EE7"/>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7BFD"/>
    <w:rsid w:val="00AA055D"/>
    <w:rsid w:val="00AA52E5"/>
    <w:rsid w:val="00AA7624"/>
    <w:rsid w:val="00AB2EE2"/>
    <w:rsid w:val="00AB574C"/>
    <w:rsid w:val="00AC1099"/>
    <w:rsid w:val="00AC24E3"/>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2743D"/>
    <w:rsid w:val="00B31125"/>
    <w:rsid w:val="00B3142C"/>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599A"/>
    <w:rsid w:val="00BB6455"/>
    <w:rsid w:val="00BB73BD"/>
    <w:rsid w:val="00BC12AE"/>
    <w:rsid w:val="00BC67B9"/>
    <w:rsid w:val="00BC7BB8"/>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0BA"/>
    <w:rsid w:val="00CA4E1A"/>
    <w:rsid w:val="00CA5A78"/>
    <w:rsid w:val="00CA5C99"/>
    <w:rsid w:val="00CB6FA6"/>
    <w:rsid w:val="00CC797E"/>
    <w:rsid w:val="00CD6174"/>
    <w:rsid w:val="00CE1EE1"/>
    <w:rsid w:val="00CE38E3"/>
    <w:rsid w:val="00CE57C8"/>
    <w:rsid w:val="00CE59D9"/>
    <w:rsid w:val="00CE5C9C"/>
    <w:rsid w:val="00CE73ED"/>
    <w:rsid w:val="00CF3136"/>
    <w:rsid w:val="00CF4A67"/>
    <w:rsid w:val="00CF6DE3"/>
    <w:rsid w:val="00D01632"/>
    <w:rsid w:val="00D024D9"/>
    <w:rsid w:val="00D0311C"/>
    <w:rsid w:val="00D039D8"/>
    <w:rsid w:val="00D1043D"/>
    <w:rsid w:val="00D10B90"/>
    <w:rsid w:val="00D119C3"/>
    <w:rsid w:val="00D20C1B"/>
    <w:rsid w:val="00D21DC4"/>
    <w:rsid w:val="00D25928"/>
    <w:rsid w:val="00D25CDB"/>
    <w:rsid w:val="00D260D1"/>
    <w:rsid w:val="00D26669"/>
    <w:rsid w:val="00D37213"/>
    <w:rsid w:val="00D50250"/>
    <w:rsid w:val="00D510B9"/>
    <w:rsid w:val="00D56774"/>
    <w:rsid w:val="00D56BE6"/>
    <w:rsid w:val="00D575CA"/>
    <w:rsid w:val="00D60658"/>
    <w:rsid w:val="00D6445D"/>
    <w:rsid w:val="00D649D9"/>
    <w:rsid w:val="00D66831"/>
    <w:rsid w:val="00D66FB8"/>
    <w:rsid w:val="00D72569"/>
    <w:rsid w:val="00D745F5"/>
    <w:rsid w:val="00D77312"/>
    <w:rsid w:val="00D77C93"/>
    <w:rsid w:val="00D85C8C"/>
    <w:rsid w:val="00D8634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5AA4"/>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01C"/>
    <w:rsid w:val="00E63BC3"/>
    <w:rsid w:val="00E63DE2"/>
    <w:rsid w:val="00E66E08"/>
    <w:rsid w:val="00E71E09"/>
    <w:rsid w:val="00E72BB5"/>
    <w:rsid w:val="00E74387"/>
    <w:rsid w:val="00E805A1"/>
    <w:rsid w:val="00E8292C"/>
    <w:rsid w:val="00E8471F"/>
    <w:rsid w:val="00E85CA1"/>
    <w:rsid w:val="00E91F09"/>
    <w:rsid w:val="00E927FC"/>
    <w:rsid w:val="00E967EB"/>
    <w:rsid w:val="00EA410B"/>
    <w:rsid w:val="00EB4632"/>
    <w:rsid w:val="00EB6E2E"/>
    <w:rsid w:val="00EB7CB2"/>
    <w:rsid w:val="00EC09AC"/>
    <w:rsid w:val="00EC0FDD"/>
    <w:rsid w:val="00EC1320"/>
    <w:rsid w:val="00EC6AA7"/>
    <w:rsid w:val="00ED36E5"/>
    <w:rsid w:val="00ED5843"/>
    <w:rsid w:val="00EE2524"/>
    <w:rsid w:val="00EF09C7"/>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404"/>
    <w:rsid w:val="00F60970"/>
    <w:rsid w:val="00F60C5D"/>
    <w:rsid w:val="00F61210"/>
    <w:rsid w:val="00F62691"/>
    <w:rsid w:val="00F76812"/>
    <w:rsid w:val="00F76C2B"/>
    <w:rsid w:val="00F82E3A"/>
    <w:rsid w:val="00F84D1A"/>
    <w:rsid w:val="00F85C2F"/>
    <w:rsid w:val="00F90859"/>
    <w:rsid w:val="00F9169E"/>
    <w:rsid w:val="00FA6051"/>
    <w:rsid w:val="00FA6A7A"/>
    <w:rsid w:val="00FB0EAC"/>
    <w:rsid w:val="00FB7C92"/>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6D08-481D-4881-A3E0-2E31E7CE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4259</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Picnic a choisi TGW pour l’automatisation de son centre de préparation à Utrecht</dc:title>
  <dc:subject/>
  <dc:creator>Wohlfarth Andrea</dc:creator>
  <cp:keywords/>
  <dc:description/>
  <cp:lastModifiedBy>Weiß Lena</cp:lastModifiedBy>
  <cp:revision>2</cp:revision>
  <cp:lastPrinted>2019-02-21T13:46:00Z</cp:lastPrinted>
  <dcterms:created xsi:type="dcterms:W3CDTF">2021-02-08T08:04:00Z</dcterms:created>
  <dcterms:modified xsi:type="dcterms:W3CDTF">2021-02-08T08:04:00Z</dcterms:modified>
</cp:coreProperties>
</file>