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BB" w:rsidRPr="00DD1A39" w:rsidRDefault="007924BB" w:rsidP="0031450F">
      <w:pPr>
        <w:ind w:right="1843"/>
        <w:rPr>
          <w:rFonts w:cs="Arial"/>
          <w:b/>
          <w:sz w:val="28"/>
          <w:szCs w:val="28"/>
          <w:lang w:val="en-GB"/>
        </w:rPr>
      </w:pPr>
      <w:r w:rsidRPr="00DD1A39">
        <w:rPr>
          <w:rFonts w:cs="Arial"/>
          <w:b/>
          <w:sz w:val="28"/>
          <w:szCs w:val="28"/>
          <w:lang w:val="en-GB"/>
        </w:rPr>
        <w:t>TGW realises first Mustang project in China</w:t>
      </w:r>
    </w:p>
    <w:p w:rsidR="007924BB" w:rsidRPr="00DD1A39" w:rsidRDefault="007924BB" w:rsidP="0031450F">
      <w:pPr>
        <w:ind w:right="1843"/>
        <w:rPr>
          <w:rFonts w:cs="Arial"/>
          <w:b/>
          <w:lang w:val="en-GB"/>
        </w:rPr>
      </w:pPr>
    </w:p>
    <w:p w:rsidR="007924BB" w:rsidRPr="00DD1A39" w:rsidRDefault="007924BB" w:rsidP="0031450F">
      <w:pPr>
        <w:ind w:right="1843"/>
        <w:rPr>
          <w:rFonts w:cs="Arial"/>
          <w:b/>
          <w:lang w:val="en-GB"/>
        </w:rPr>
      </w:pPr>
      <w:r w:rsidRPr="00DD1A39">
        <w:rPr>
          <w:rFonts w:cs="Arial"/>
          <w:b/>
          <w:lang w:val="en-GB"/>
        </w:rPr>
        <w:t xml:space="preserve">Only </w:t>
      </w:r>
      <w:r w:rsidR="004B1A57">
        <w:rPr>
          <w:rFonts w:cs="Arial"/>
          <w:b/>
          <w:lang w:val="en-GB"/>
        </w:rPr>
        <w:t>three</w:t>
      </w:r>
      <w:r w:rsidRPr="00DD1A39">
        <w:rPr>
          <w:rFonts w:cs="Arial"/>
          <w:b/>
          <w:lang w:val="en-GB"/>
        </w:rPr>
        <w:t xml:space="preserve"> years after the opening of the TGW </w:t>
      </w:r>
      <w:r w:rsidR="001C4987">
        <w:rPr>
          <w:rFonts w:cs="Arial"/>
          <w:b/>
          <w:lang w:val="en-GB"/>
        </w:rPr>
        <w:t xml:space="preserve">production </w:t>
      </w:r>
      <w:r w:rsidRPr="00DD1A39">
        <w:rPr>
          <w:rFonts w:cs="Arial"/>
          <w:b/>
          <w:lang w:val="en-GB"/>
        </w:rPr>
        <w:t>unit in China, the international automotive parts supplier HELLA invests in an automatic mini-load warehouse supplied by TGW Logistics Group in Shanghai.</w:t>
      </w:r>
    </w:p>
    <w:p w:rsidR="007924BB" w:rsidRPr="00DD1A39" w:rsidRDefault="007924BB" w:rsidP="0031450F">
      <w:pPr>
        <w:ind w:right="1843"/>
        <w:rPr>
          <w:rFonts w:cs="Arial"/>
          <w:b/>
          <w:lang w:val="en-GB"/>
        </w:rPr>
      </w:pPr>
    </w:p>
    <w:p w:rsidR="007924BB" w:rsidRDefault="007924BB" w:rsidP="0031450F">
      <w:pPr>
        <w:ind w:right="1843"/>
        <w:rPr>
          <w:rFonts w:cs="Arial"/>
          <w:lang w:val="en-GB"/>
        </w:rPr>
      </w:pPr>
      <w:r w:rsidRPr="00DD1A39">
        <w:rPr>
          <w:rFonts w:cs="Arial"/>
          <w:lang w:val="en-GB"/>
        </w:rPr>
        <w:t>The globally operating, family-run company specialises in innovative lighting systems and electronic equipment for vehicles. As one of the technology leaders</w:t>
      </w:r>
      <w:r w:rsidR="00674661">
        <w:rPr>
          <w:rFonts w:cs="Arial"/>
          <w:lang w:val="en-GB"/>
        </w:rPr>
        <w:t>,</w:t>
      </w:r>
      <w:r w:rsidRPr="00DD1A39">
        <w:rPr>
          <w:rFonts w:cs="Arial"/>
          <w:lang w:val="en-GB"/>
        </w:rPr>
        <w:t xml:space="preserve"> HELLA has been an important partner in the automotive industry and in the aftermarket for more than </w:t>
      </w:r>
      <w:r w:rsidR="001C4987">
        <w:rPr>
          <w:rFonts w:cs="Arial"/>
          <w:lang w:val="en-GB"/>
        </w:rPr>
        <w:t xml:space="preserve">one </w:t>
      </w:r>
      <w:r w:rsidRPr="00DD1A39">
        <w:rPr>
          <w:rFonts w:cs="Arial"/>
          <w:lang w:val="en-GB"/>
        </w:rPr>
        <w:t xml:space="preserve">hundred years. In order to meet the requirements for the company's future growth, HELLA had to </w:t>
      </w:r>
      <w:r w:rsidR="00F8791B">
        <w:rPr>
          <w:rFonts w:cs="Arial"/>
          <w:lang w:val="en-GB"/>
        </w:rPr>
        <w:t xml:space="preserve">expand </w:t>
      </w:r>
      <w:r w:rsidRPr="00DD1A39">
        <w:rPr>
          <w:rFonts w:cs="Arial"/>
          <w:lang w:val="en-GB"/>
        </w:rPr>
        <w:t xml:space="preserve">its production capacities and production times </w:t>
      </w:r>
      <w:r w:rsidR="00067729">
        <w:rPr>
          <w:rFonts w:cs="Arial"/>
          <w:lang w:val="en-GB"/>
        </w:rPr>
        <w:t>significantly</w:t>
      </w:r>
      <w:r w:rsidRPr="00DD1A39">
        <w:rPr>
          <w:rFonts w:cs="Arial"/>
          <w:lang w:val="en-GB"/>
        </w:rPr>
        <w:t xml:space="preserve">. </w:t>
      </w:r>
      <w:r w:rsidR="00F8791B">
        <w:rPr>
          <w:rFonts w:cs="Arial"/>
          <w:lang w:val="en-GB"/>
        </w:rPr>
        <w:t xml:space="preserve">As a result, </w:t>
      </w:r>
      <w:r w:rsidRPr="00DD1A39">
        <w:rPr>
          <w:rFonts w:cs="Arial"/>
          <w:lang w:val="en-GB"/>
        </w:rPr>
        <w:t>a new in</w:t>
      </w:r>
      <w:r w:rsidR="00067729">
        <w:rPr>
          <w:rFonts w:cs="Arial"/>
          <w:lang w:val="en-GB"/>
        </w:rPr>
        <w:t>tralogistics centre</w:t>
      </w:r>
      <w:r w:rsidR="00F8791B">
        <w:rPr>
          <w:rFonts w:cs="Arial"/>
          <w:lang w:val="en-GB"/>
        </w:rPr>
        <w:t xml:space="preserve"> </w:t>
      </w:r>
      <w:proofErr w:type="gramStart"/>
      <w:r w:rsidR="00F8791B">
        <w:rPr>
          <w:rFonts w:cs="Arial"/>
          <w:lang w:val="en-GB"/>
        </w:rPr>
        <w:t xml:space="preserve">is being </w:t>
      </w:r>
      <w:r w:rsidR="00663539">
        <w:rPr>
          <w:rFonts w:cs="Arial"/>
          <w:lang w:val="en-GB"/>
        </w:rPr>
        <w:t>built</w:t>
      </w:r>
      <w:proofErr w:type="gramEnd"/>
      <w:r w:rsidR="00F8791B">
        <w:rPr>
          <w:rFonts w:cs="Arial"/>
          <w:lang w:val="en-GB"/>
        </w:rPr>
        <w:t xml:space="preserve">. TGW is proud to announce that </w:t>
      </w:r>
      <w:r w:rsidR="00674661">
        <w:rPr>
          <w:rFonts w:cs="Arial"/>
          <w:lang w:val="en-GB"/>
        </w:rPr>
        <w:t xml:space="preserve">the Austrian intralogistics specialist received the </w:t>
      </w:r>
      <w:r w:rsidR="00674661" w:rsidRPr="00674661">
        <w:t>contract</w:t>
      </w:r>
      <w:r w:rsidR="00674661">
        <w:t xml:space="preserve"> </w:t>
      </w:r>
      <w:r w:rsidR="00F8791B" w:rsidRPr="00674661">
        <w:t>due</w:t>
      </w:r>
      <w:r w:rsidR="00F8791B">
        <w:rPr>
          <w:rFonts w:cs="Arial"/>
          <w:lang w:val="en-GB"/>
        </w:rPr>
        <w:t xml:space="preserve"> to its </w:t>
      </w:r>
      <w:r w:rsidRPr="00DD1A39">
        <w:rPr>
          <w:rFonts w:cs="Arial"/>
          <w:lang w:val="en-GB"/>
        </w:rPr>
        <w:t>best technical solution and a very close communication</w:t>
      </w:r>
      <w:r w:rsidR="00067729">
        <w:rPr>
          <w:rFonts w:cs="Arial"/>
          <w:lang w:val="en-GB"/>
        </w:rPr>
        <w:t xml:space="preserve"> with the customer</w:t>
      </w:r>
      <w:r w:rsidRPr="00DD1A39">
        <w:rPr>
          <w:rFonts w:cs="Arial"/>
          <w:lang w:val="en-GB"/>
        </w:rPr>
        <w:t xml:space="preserve">. </w:t>
      </w:r>
    </w:p>
    <w:p w:rsidR="003448D2" w:rsidRPr="00DD1A39" w:rsidRDefault="003448D2" w:rsidP="0031450F">
      <w:pPr>
        <w:ind w:right="1843"/>
        <w:rPr>
          <w:rFonts w:cs="Arial"/>
          <w:lang w:val="en-GB"/>
        </w:rPr>
      </w:pPr>
    </w:p>
    <w:p w:rsidR="007924BB" w:rsidRPr="00DD1A39" w:rsidRDefault="007924BB" w:rsidP="0031450F">
      <w:pPr>
        <w:ind w:right="1843"/>
        <w:rPr>
          <w:rFonts w:cs="Arial"/>
          <w:b/>
          <w:lang w:val="en-GB"/>
        </w:rPr>
      </w:pPr>
      <w:r w:rsidRPr="00DD1A39">
        <w:rPr>
          <w:rFonts w:cs="Arial"/>
          <w:b/>
          <w:lang w:val="en-GB"/>
        </w:rPr>
        <w:t>First TGW Mustang project in China</w:t>
      </w:r>
    </w:p>
    <w:p w:rsidR="007924BB" w:rsidRPr="00DD1A39" w:rsidRDefault="007924BB" w:rsidP="0031450F">
      <w:pPr>
        <w:ind w:right="1843"/>
        <w:rPr>
          <w:rFonts w:cs="Arial"/>
          <w:lang w:val="en-GB"/>
        </w:rPr>
      </w:pPr>
      <w:r w:rsidRPr="00DD1A39">
        <w:rPr>
          <w:rFonts w:cs="Arial"/>
          <w:lang w:val="en-GB"/>
        </w:rPr>
        <w:t xml:space="preserve">TGW’s scope of supply includes a six-aisle mini-load warehouse with around 120,000 storage locations operated by six Mustang storage and retrieval machines. Thanks to consistent lightweight construction design of TGW's storage &amp; retrieval machines as well as the standard use of energy recovery modules and an energy consumption oriented axis control, our machines are extremely energy-efficient compared to other providers in the market. The flexible KingDrive® technology serves as conveying system for the new </w:t>
      </w:r>
      <w:r w:rsidR="00DF30F2">
        <w:rPr>
          <w:rFonts w:cs="Arial"/>
          <w:lang w:val="en-GB"/>
        </w:rPr>
        <w:t>installation</w:t>
      </w:r>
      <w:r w:rsidRPr="00DD1A39">
        <w:rPr>
          <w:rFonts w:cs="Arial"/>
          <w:lang w:val="en-GB"/>
        </w:rPr>
        <w:t xml:space="preserve"> and as a connection between the existing and the new building. </w:t>
      </w:r>
    </w:p>
    <w:p w:rsidR="007924BB" w:rsidRPr="00DD1A39" w:rsidRDefault="007924BB" w:rsidP="0031450F">
      <w:pPr>
        <w:ind w:right="1843"/>
        <w:rPr>
          <w:rFonts w:cs="Arial"/>
          <w:lang w:val="en-GB"/>
        </w:rPr>
      </w:pPr>
    </w:p>
    <w:p w:rsidR="007924BB" w:rsidRPr="00DD1A39" w:rsidRDefault="007924BB" w:rsidP="0031450F">
      <w:pPr>
        <w:ind w:right="1843"/>
        <w:rPr>
          <w:rFonts w:cs="Arial"/>
          <w:lang w:val="en-GB"/>
        </w:rPr>
      </w:pPr>
      <w:r w:rsidRPr="00DD1A39">
        <w:rPr>
          <w:rFonts w:cs="Arial"/>
          <w:lang w:val="en-GB"/>
        </w:rPr>
        <w:t>The small-parts warehouse will be equipped with seven workstations. Additionally, TGW provides its customer with the entire IT and control systems as well as with the warehouse control system</w:t>
      </w:r>
      <w:r w:rsidR="004568D6">
        <w:rPr>
          <w:rFonts w:cs="Arial"/>
          <w:lang w:val="en-GB"/>
        </w:rPr>
        <w:t>,</w:t>
      </w:r>
      <w:r w:rsidRPr="00DD1A39">
        <w:rPr>
          <w:rFonts w:cs="Arial"/>
          <w:lang w:val="en-GB"/>
        </w:rPr>
        <w:t xml:space="preserve"> which will manage the real-time activities of all storages, relocations and retrievals in the warehouse. "This order is a milestone for TGW China. </w:t>
      </w:r>
      <w:r w:rsidR="00F8791B">
        <w:rPr>
          <w:rFonts w:cs="Arial"/>
          <w:lang w:val="en-GB"/>
        </w:rPr>
        <w:t xml:space="preserve">We are excited to embark on this project </w:t>
      </w:r>
      <w:r w:rsidR="00003051">
        <w:rPr>
          <w:rFonts w:cs="Arial"/>
          <w:lang w:val="en-GB"/>
        </w:rPr>
        <w:t xml:space="preserve">with a company of </w:t>
      </w:r>
      <w:r w:rsidR="00067729">
        <w:rPr>
          <w:rFonts w:cs="Arial"/>
          <w:lang w:val="en-GB"/>
        </w:rPr>
        <w:t>such reputation as HELLA, and are</w:t>
      </w:r>
      <w:r w:rsidR="00003051">
        <w:rPr>
          <w:rFonts w:cs="Arial"/>
          <w:lang w:val="en-GB"/>
        </w:rPr>
        <w:t xml:space="preserve"> sure that our </w:t>
      </w:r>
      <w:r w:rsidRPr="00DD1A39">
        <w:rPr>
          <w:rFonts w:cs="Arial"/>
          <w:lang w:val="en-GB"/>
        </w:rPr>
        <w:t xml:space="preserve">one-stop solution will be a </w:t>
      </w:r>
      <w:r w:rsidR="00003051">
        <w:rPr>
          <w:rFonts w:cs="Arial"/>
          <w:lang w:val="en-GB"/>
        </w:rPr>
        <w:t>milestone in automated intralogistics systems, which might also serve as a benchmark to other</w:t>
      </w:r>
      <w:r w:rsidR="00067729">
        <w:rPr>
          <w:rFonts w:cs="Arial"/>
          <w:lang w:val="en-GB"/>
        </w:rPr>
        <w:t xml:space="preserve"> prospective customers in China</w:t>
      </w:r>
      <w:r w:rsidR="00003051">
        <w:rPr>
          <w:rFonts w:cs="Arial"/>
          <w:lang w:val="en-GB"/>
        </w:rPr>
        <w:t>", explains Frank Im</w:t>
      </w:r>
      <w:r w:rsidRPr="00DD1A39">
        <w:rPr>
          <w:rFonts w:cs="Arial"/>
          <w:lang w:val="en-GB"/>
        </w:rPr>
        <w:t xml:space="preserve">kamp, Chief Executive Officer of TGW China. </w:t>
      </w:r>
    </w:p>
    <w:p w:rsidR="007924BB" w:rsidRPr="00DD1A39" w:rsidRDefault="007924BB" w:rsidP="0031450F">
      <w:pPr>
        <w:ind w:right="1843"/>
        <w:rPr>
          <w:rFonts w:cs="Arial"/>
          <w:lang w:val="en-GB"/>
        </w:rPr>
      </w:pPr>
    </w:p>
    <w:p w:rsidR="007924BB" w:rsidRPr="00DD1A39" w:rsidRDefault="007924BB" w:rsidP="0031450F">
      <w:pPr>
        <w:ind w:right="1843"/>
        <w:rPr>
          <w:rFonts w:cs="Arial"/>
          <w:b/>
          <w:lang w:val="en-GB"/>
        </w:rPr>
      </w:pPr>
      <w:r w:rsidRPr="00DD1A39">
        <w:rPr>
          <w:rFonts w:cs="Arial"/>
          <w:b/>
          <w:lang w:val="en-GB"/>
        </w:rPr>
        <w:t>Perfectly equipped for the future</w:t>
      </w:r>
    </w:p>
    <w:p w:rsidR="007924BB" w:rsidRPr="00DD1A39" w:rsidRDefault="007924BB" w:rsidP="0031450F">
      <w:pPr>
        <w:ind w:right="1843"/>
        <w:rPr>
          <w:rFonts w:cs="Arial"/>
          <w:lang w:val="en-GB"/>
        </w:rPr>
      </w:pPr>
      <w:r w:rsidRPr="00DD1A39">
        <w:rPr>
          <w:rFonts w:cs="Arial"/>
          <w:lang w:val="en-GB"/>
        </w:rPr>
        <w:t xml:space="preserve">With the new intelligent control system, HELLA will increase its productivity, shorten delivery times, decrease error rates and meet important production demands in the future. Furthermore, </w:t>
      </w:r>
      <w:r w:rsidR="00067729">
        <w:rPr>
          <w:rFonts w:cs="Arial"/>
          <w:lang w:val="en-GB"/>
        </w:rPr>
        <w:t xml:space="preserve">the </w:t>
      </w:r>
      <w:r w:rsidRPr="00DD1A39">
        <w:rPr>
          <w:rFonts w:cs="Arial"/>
          <w:lang w:val="en-GB"/>
        </w:rPr>
        <w:t xml:space="preserve">mini-load warehouse </w:t>
      </w:r>
      <w:proofErr w:type="gramStart"/>
      <w:r w:rsidRPr="00DD1A39">
        <w:rPr>
          <w:rFonts w:cs="Arial"/>
          <w:lang w:val="en-GB"/>
        </w:rPr>
        <w:t>is designed</w:t>
      </w:r>
      <w:proofErr w:type="gramEnd"/>
      <w:r w:rsidRPr="00DD1A39">
        <w:rPr>
          <w:rFonts w:cs="Arial"/>
          <w:lang w:val="en-GB"/>
        </w:rPr>
        <w:t xml:space="preserve"> to store raw materials for </w:t>
      </w:r>
      <w:r w:rsidRPr="00DD1A39">
        <w:rPr>
          <w:rFonts w:cs="Arial"/>
          <w:lang w:val="en-GB"/>
        </w:rPr>
        <w:lastRenderedPageBreak/>
        <w:t>the production lines as well as finished goods for delivery. At the same time HELLA placed the order for the new building, the company also concluded a contract for an e</w:t>
      </w:r>
      <w:r w:rsidR="00067729">
        <w:rPr>
          <w:rFonts w:cs="Arial"/>
          <w:lang w:val="en-GB"/>
        </w:rPr>
        <w:t>ntire Lifetime Services package.</w:t>
      </w:r>
    </w:p>
    <w:p w:rsidR="007924BB" w:rsidRPr="00DD1A39" w:rsidRDefault="007924BB" w:rsidP="0031450F">
      <w:pPr>
        <w:ind w:right="1843"/>
        <w:rPr>
          <w:rFonts w:cs="Arial"/>
          <w:lang w:val="en-GB"/>
        </w:rPr>
      </w:pPr>
    </w:p>
    <w:p w:rsidR="007924BB" w:rsidRPr="00DD1A39" w:rsidRDefault="007924BB" w:rsidP="0031450F">
      <w:pPr>
        <w:ind w:right="1843"/>
        <w:rPr>
          <w:rFonts w:cs="Arial"/>
          <w:lang w:val="en-GB"/>
        </w:rPr>
      </w:pPr>
      <w:r w:rsidRPr="00DD1A39">
        <w:rPr>
          <w:rFonts w:cs="Arial"/>
          <w:lang w:val="en-GB"/>
        </w:rPr>
        <w:t>"We were able to win this strategically important project against strong competitors thanks to our amazing solution. HELLA saw the added value and the future viability of our products and backed the right horse wh</w:t>
      </w:r>
      <w:r w:rsidR="00003051">
        <w:rPr>
          <w:rFonts w:cs="Arial"/>
          <w:lang w:val="en-GB"/>
        </w:rPr>
        <w:t>en choosing the TGW Mustang", Im</w:t>
      </w:r>
      <w:r w:rsidRPr="00DD1A39">
        <w:rPr>
          <w:rFonts w:cs="Arial"/>
          <w:lang w:val="en-GB"/>
        </w:rPr>
        <w:t>kamp emphasises.</w:t>
      </w:r>
    </w:p>
    <w:p w:rsidR="007924BB" w:rsidRPr="00DD1A39" w:rsidRDefault="007924BB" w:rsidP="0031450F">
      <w:pPr>
        <w:ind w:right="1843"/>
        <w:rPr>
          <w:rFonts w:cs="Arial"/>
          <w:lang w:val="en-GB"/>
        </w:rPr>
      </w:pPr>
    </w:p>
    <w:p w:rsidR="007924BB" w:rsidRPr="00DD1A39" w:rsidRDefault="003D298D" w:rsidP="0031450F">
      <w:pPr>
        <w:ind w:right="1843"/>
        <w:rPr>
          <w:rFonts w:cs="Arial"/>
          <w:lang w:val="en-GB"/>
        </w:rPr>
      </w:pPr>
      <w:hyperlink r:id="rId7" w:history="1">
        <w:r w:rsidR="00F52AA9" w:rsidRPr="00DD1A39">
          <w:rPr>
            <w:rStyle w:val="Hyperlink"/>
            <w:rFonts w:cs="Arial"/>
            <w:lang w:val="en-GB"/>
          </w:rPr>
          <w:t>www.tgw-group.com</w:t>
        </w:r>
      </w:hyperlink>
    </w:p>
    <w:p w:rsidR="0031450F" w:rsidRDefault="0031450F" w:rsidP="0031450F">
      <w:pPr>
        <w:spacing w:before="120" w:after="240"/>
        <w:ind w:right="1843"/>
        <w:rPr>
          <w:rFonts w:cs="Arial"/>
          <w:lang w:val="en-GB"/>
        </w:rPr>
      </w:pPr>
    </w:p>
    <w:p w:rsidR="003D298D" w:rsidRDefault="003D298D" w:rsidP="0031450F">
      <w:pPr>
        <w:spacing w:before="120" w:after="240"/>
        <w:ind w:right="1843"/>
        <w:rPr>
          <w:rFonts w:cs="Arial"/>
          <w:lang w:val="en-GB"/>
        </w:rPr>
      </w:pPr>
    </w:p>
    <w:p w:rsidR="003D298D" w:rsidRDefault="003D298D" w:rsidP="0031450F">
      <w:pPr>
        <w:spacing w:before="120" w:after="240"/>
        <w:ind w:right="1843"/>
        <w:rPr>
          <w:rFonts w:cs="Arial"/>
          <w:lang w:val="en-GB"/>
        </w:rPr>
      </w:pPr>
    </w:p>
    <w:p w:rsidR="003D298D" w:rsidRPr="00DD1A39" w:rsidRDefault="003D298D" w:rsidP="0031450F">
      <w:pPr>
        <w:spacing w:before="120" w:after="240"/>
        <w:ind w:right="1843"/>
        <w:rPr>
          <w:rFonts w:cs="Arial"/>
          <w:lang w:val="en-GB"/>
        </w:rPr>
      </w:pPr>
      <w:bookmarkStart w:id="0" w:name="_GoBack"/>
      <w:bookmarkEnd w:id="0"/>
    </w:p>
    <w:p w:rsidR="001C4987" w:rsidRPr="0067046F" w:rsidRDefault="001C4987" w:rsidP="0031450F">
      <w:pPr>
        <w:spacing w:before="240" w:after="120"/>
        <w:ind w:right="1843"/>
        <w:rPr>
          <w:b/>
          <w:lang w:val="en-GB"/>
        </w:rPr>
      </w:pPr>
      <w:r w:rsidRPr="0067046F">
        <w:rPr>
          <w:b/>
          <w:lang w:val="en-GB"/>
        </w:rPr>
        <w:t>About TGW Logistics Group:</w:t>
      </w:r>
    </w:p>
    <w:p w:rsidR="001C4987" w:rsidRPr="0067046F" w:rsidRDefault="001C4987" w:rsidP="0031450F">
      <w:pPr>
        <w:spacing w:before="240" w:after="120"/>
        <w:ind w:right="1843"/>
        <w:rPr>
          <w:lang w:val="en-GB"/>
        </w:rPr>
      </w:pPr>
      <w:r w:rsidRPr="0067046F">
        <w:rPr>
          <w:lang w:val="en-GB"/>
        </w:rPr>
        <w:t xml:space="preserve">TGW Logistics Group is a global leading systems provider of highly dynamic, automated and </w:t>
      </w:r>
      <w:proofErr w:type="gramStart"/>
      <w:r w:rsidRPr="0067046F">
        <w:rPr>
          <w:lang w:val="en-GB"/>
        </w:rPr>
        <w:t>turn-key</w:t>
      </w:r>
      <w:proofErr w:type="gramEnd"/>
      <w:r w:rsidRPr="0067046F">
        <w:rPr>
          <w:lang w:val="en-GB"/>
        </w:rPr>
        <w:t xml:space="preserve"> logistics solutions. Since </w:t>
      </w:r>
      <w:proofErr w:type="gramStart"/>
      <w:r w:rsidRPr="0067046F">
        <w:rPr>
          <w:lang w:val="en-GB"/>
        </w:rPr>
        <w:t>1969</w:t>
      </w:r>
      <w:proofErr w:type="gramEnd"/>
      <w:r w:rsidRPr="0067046F">
        <w:rPr>
          <w:lang w:val="en-GB"/>
        </w:rPr>
        <w:t xml:space="preserve"> the company has been implementing different internal logistics solutions, from small material handling applications to complex logistics centres. </w:t>
      </w:r>
    </w:p>
    <w:p w:rsidR="001C4987" w:rsidRPr="0067046F" w:rsidRDefault="00722318" w:rsidP="0031450F">
      <w:pPr>
        <w:spacing w:before="240" w:after="120"/>
        <w:ind w:right="1843"/>
        <w:rPr>
          <w:lang w:val="en-GB"/>
        </w:rPr>
      </w:pPr>
      <w:r>
        <w:rPr>
          <w:lang w:val="en-GB"/>
        </w:rPr>
        <w:t>With about 3,0</w:t>
      </w:r>
      <w:r w:rsidR="001C4987" w:rsidRPr="0067046F">
        <w:rPr>
          <w:lang w:val="en-GB"/>
        </w:rPr>
        <w:t>00 employees worldwide, the Group implements logistics solutions for leading companies in various indus</w:t>
      </w:r>
      <w:r w:rsidR="001C4987">
        <w:rPr>
          <w:lang w:val="en-GB"/>
        </w:rPr>
        <w:t>tries. In the business year 2016/17</w:t>
      </w:r>
      <w:r w:rsidR="001C4987" w:rsidRPr="0067046F">
        <w:rPr>
          <w:lang w:val="en-GB"/>
        </w:rPr>
        <w:t xml:space="preserve">, the TGW Logistics Group generated sales revenues of </w:t>
      </w:r>
      <w:r w:rsidR="001C4987">
        <w:rPr>
          <w:lang w:val="en-GB"/>
        </w:rPr>
        <w:t xml:space="preserve">621 </w:t>
      </w:r>
      <w:r w:rsidR="001C4987" w:rsidRPr="0067046F">
        <w:rPr>
          <w:lang w:val="en-GB"/>
        </w:rPr>
        <w:t>million Euros.</w:t>
      </w:r>
    </w:p>
    <w:p w:rsidR="001C4987" w:rsidRPr="0067046F" w:rsidRDefault="001C4987" w:rsidP="0031450F">
      <w:pPr>
        <w:spacing w:before="240" w:after="120"/>
        <w:ind w:right="1843"/>
        <w:rPr>
          <w:b/>
          <w:lang w:val="en-GB"/>
        </w:rPr>
      </w:pPr>
      <w:r w:rsidRPr="0067046F">
        <w:rPr>
          <w:b/>
          <w:lang w:val="en-GB"/>
        </w:rPr>
        <w:t>Pictures:</w:t>
      </w:r>
    </w:p>
    <w:p w:rsidR="001C4987" w:rsidRPr="0067046F" w:rsidRDefault="001C4987" w:rsidP="0031450F">
      <w:pPr>
        <w:spacing w:before="240" w:after="120"/>
        <w:ind w:right="1843"/>
        <w:rPr>
          <w:lang w:val="en-GB"/>
        </w:rPr>
      </w:pPr>
      <w:r w:rsidRPr="0067046F">
        <w:rPr>
          <w:lang w:val="en-GB"/>
        </w:rPr>
        <w:t xml:space="preserve">Reprint with reference to TGW Logistics Group GmbH free of charge. Reprint </w:t>
      </w:r>
      <w:proofErr w:type="gramStart"/>
      <w:r w:rsidRPr="0067046F">
        <w:rPr>
          <w:lang w:val="en-GB"/>
        </w:rPr>
        <w:t>is not permitted</w:t>
      </w:r>
      <w:proofErr w:type="gramEnd"/>
      <w:r w:rsidRPr="0067046F">
        <w:rPr>
          <w:lang w:val="en-GB"/>
        </w:rPr>
        <w:t xml:space="preserve"> for promotional purposes.</w:t>
      </w:r>
    </w:p>
    <w:p w:rsidR="001C4987" w:rsidRPr="0067046F" w:rsidRDefault="001C4987" w:rsidP="0031450F">
      <w:pPr>
        <w:spacing w:before="240" w:after="120"/>
        <w:ind w:right="1843"/>
        <w:rPr>
          <w:lang w:val="en-GB"/>
        </w:rPr>
      </w:pPr>
    </w:p>
    <w:p w:rsidR="001C4987" w:rsidRPr="0067046F" w:rsidRDefault="001C4987" w:rsidP="0031450F">
      <w:pPr>
        <w:spacing w:line="240" w:lineRule="auto"/>
        <w:ind w:right="1843"/>
        <w:rPr>
          <w:b/>
          <w:lang w:val="en-GB"/>
        </w:rPr>
      </w:pPr>
      <w:r w:rsidRPr="0067046F">
        <w:rPr>
          <w:b/>
          <w:lang w:val="en-GB"/>
        </w:rPr>
        <w:t>Contact:</w:t>
      </w:r>
    </w:p>
    <w:p w:rsidR="001C4987" w:rsidRPr="0067046F" w:rsidRDefault="001C4987" w:rsidP="0031450F">
      <w:pPr>
        <w:spacing w:line="240" w:lineRule="auto"/>
        <w:ind w:right="1843"/>
        <w:rPr>
          <w:lang w:val="en-GB"/>
        </w:rPr>
      </w:pPr>
      <w:r w:rsidRPr="0067046F">
        <w:rPr>
          <w:lang w:val="en-GB"/>
        </w:rPr>
        <w:t>TGW Logistics Group GmbH</w:t>
      </w:r>
    </w:p>
    <w:p w:rsidR="001C4987" w:rsidRPr="00067729" w:rsidRDefault="001C4987" w:rsidP="0031450F">
      <w:pPr>
        <w:spacing w:line="240" w:lineRule="auto"/>
        <w:ind w:right="1843"/>
      </w:pPr>
      <w:r w:rsidRPr="00067729">
        <w:t>4600 Wels, Collmannstraße 2, Austria</w:t>
      </w:r>
    </w:p>
    <w:p w:rsidR="001C4987" w:rsidRPr="00067729" w:rsidRDefault="001C4987" w:rsidP="0031450F">
      <w:pPr>
        <w:spacing w:line="240" w:lineRule="auto"/>
        <w:ind w:right="1843"/>
      </w:pPr>
      <w:r w:rsidRPr="00067729">
        <w:t>T: +43.7242.486-0</w:t>
      </w:r>
    </w:p>
    <w:p w:rsidR="001C4987" w:rsidRPr="00067729" w:rsidRDefault="001C4987" w:rsidP="0031450F">
      <w:pPr>
        <w:spacing w:line="240" w:lineRule="auto"/>
        <w:ind w:right="1843"/>
      </w:pPr>
      <w:r w:rsidRPr="00067729">
        <w:t>F: +43.7242.486-31</w:t>
      </w:r>
    </w:p>
    <w:p w:rsidR="001C4987" w:rsidRPr="00067729" w:rsidRDefault="001C4987" w:rsidP="0031450F">
      <w:pPr>
        <w:spacing w:line="240" w:lineRule="auto"/>
        <w:ind w:right="1843"/>
      </w:pPr>
      <w:proofErr w:type="spellStart"/>
      <w:r w:rsidRPr="00067729">
        <w:t>e-mail</w:t>
      </w:r>
      <w:proofErr w:type="spellEnd"/>
      <w:r w:rsidRPr="00067729">
        <w:t>: tgw@tgw-group.com</w:t>
      </w:r>
    </w:p>
    <w:p w:rsidR="001C4987" w:rsidRDefault="001C4987" w:rsidP="0031450F">
      <w:pPr>
        <w:spacing w:line="240" w:lineRule="auto"/>
        <w:ind w:right="1843"/>
      </w:pPr>
    </w:p>
    <w:p w:rsidR="003A798E" w:rsidRPr="00067729" w:rsidRDefault="003A798E" w:rsidP="0031450F">
      <w:pPr>
        <w:spacing w:line="240" w:lineRule="auto"/>
        <w:ind w:right="1843"/>
      </w:pPr>
    </w:p>
    <w:p w:rsidR="001C4987" w:rsidRPr="0067046F" w:rsidRDefault="001C4987" w:rsidP="0031450F">
      <w:pPr>
        <w:spacing w:line="240" w:lineRule="auto"/>
        <w:ind w:right="1843"/>
        <w:rPr>
          <w:b/>
          <w:lang w:val="en-GB"/>
        </w:rPr>
      </w:pPr>
      <w:r w:rsidRPr="0067046F">
        <w:rPr>
          <w:b/>
          <w:lang w:val="en-GB"/>
        </w:rPr>
        <w:t>Press contact:</w:t>
      </w:r>
    </w:p>
    <w:p w:rsidR="001C4987" w:rsidRPr="0067046F" w:rsidRDefault="001C4987" w:rsidP="0031450F">
      <w:pPr>
        <w:spacing w:line="240" w:lineRule="auto"/>
        <w:ind w:right="1843"/>
        <w:rPr>
          <w:lang w:val="en-GB"/>
        </w:rPr>
      </w:pPr>
      <w:r>
        <w:rPr>
          <w:lang w:val="en-GB"/>
        </w:rPr>
        <w:t>Martin Kirchmayr</w:t>
      </w:r>
    </w:p>
    <w:p w:rsidR="001C4987" w:rsidRPr="0067046F" w:rsidRDefault="001C4987" w:rsidP="0031450F">
      <w:pPr>
        <w:spacing w:line="240" w:lineRule="auto"/>
        <w:ind w:right="1843"/>
        <w:rPr>
          <w:lang w:val="en-GB"/>
        </w:rPr>
      </w:pPr>
      <w:r w:rsidRPr="0067046F">
        <w:rPr>
          <w:lang w:val="en-GB"/>
        </w:rPr>
        <w:t>Marketi</w:t>
      </w:r>
      <w:r>
        <w:rPr>
          <w:lang w:val="en-GB"/>
        </w:rPr>
        <w:t>ng &amp; Communication Manager</w:t>
      </w:r>
    </w:p>
    <w:p w:rsidR="001C4987" w:rsidRPr="00067729" w:rsidRDefault="001C4987" w:rsidP="0031450F">
      <w:pPr>
        <w:tabs>
          <w:tab w:val="left" w:pos="4253"/>
        </w:tabs>
        <w:spacing w:line="240" w:lineRule="auto"/>
        <w:ind w:right="1843"/>
      </w:pPr>
      <w:r w:rsidRPr="00067729">
        <w:t>T: +43.7242.486-1382</w:t>
      </w:r>
    </w:p>
    <w:p w:rsidR="001C4987" w:rsidRPr="00067729" w:rsidRDefault="001C4987" w:rsidP="0031450F">
      <w:pPr>
        <w:spacing w:line="240" w:lineRule="auto"/>
        <w:ind w:right="1843"/>
      </w:pPr>
      <w:r w:rsidRPr="00067729">
        <w:t>M: +43.664.8187423</w:t>
      </w:r>
    </w:p>
    <w:p w:rsidR="007924BB" w:rsidRDefault="0031450F" w:rsidP="0031450F">
      <w:pPr>
        <w:spacing w:line="240" w:lineRule="auto"/>
        <w:ind w:right="1843"/>
      </w:pPr>
      <w:r w:rsidRPr="0031450F">
        <w:t>martin.kirchmayr@tgw-group.com</w:t>
      </w:r>
    </w:p>
    <w:p w:rsidR="0031450F" w:rsidRDefault="0031450F" w:rsidP="0031450F">
      <w:pPr>
        <w:spacing w:line="240" w:lineRule="auto"/>
        <w:ind w:right="1843"/>
      </w:pPr>
    </w:p>
    <w:p w:rsidR="0031450F" w:rsidRDefault="0031450F" w:rsidP="0031450F">
      <w:pPr>
        <w:spacing w:line="240" w:lineRule="auto"/>
        <w:ind w:right="1843"/>
      </w:pPr>
    </w:p>
    <w:p w:rsidR="0031450F" w:rsidRDefault="0031450F" w:rsidP="0031450F">
      <w:pPr>
        <w:spacing w:line="240" w:lineRule="auto"/>
        <w:ind w:right="1843"/>
        <w:rPr>
          <w:rFonts w:cs="Arial"/>
          <w:szCs w:val="20"/>
        </w:rPr>
      </w:pPr>
      <w:r>
        <w:rPr>
          <w:rFonts w:cs="Arial"/>
          <w:szCs w:val="20"/>
        </w:rPr>
        <w:t>Alexander Tahedl</w:t>
      </w:r>
    </w:p>
    <w:p w:rsidR="0031450F" w:rsidRDefault="0031450F" w:rsidP="0031450F">
      <w:pPr>
        <w:spacing w:line="240" w:lineRule="auto"/>
        <w:ind w:right="1843"/>
        <w:rPr>
          <w:rFonts w:cs="Arial"/>
          <w:szCs w:val="20"/>
        </w:rPr>
      </w:pPr>
      <w:r>
        <w:rPr>
          <w:rFonts w:cs="Arial"/>
          <w:szCs w:val="20"/>
        </w:rPr>
        <w:t>Marketing Specialist</w:t>
      </w:r>
    </w:p>
    <w:p w:rsidR="0031450F" w:rsidRPr="00971FF4" w:rsidRDefault="0031450F" w:rsidP="0031450F">
      <w:pPr>
        <w:spacing w:line="240" w:lineRule="auto"/>
        <w:ind w:right="1843"/>
        <w:rPr>
          <w:rFonts w:cs="Arial"/>
          <w:szCs w:val="20"/>
        </w:rPr>
      </w:pPr>
      <w:r>
        <w:rPr>
          <w:rFonts w:cs="Arial"/>
          <w:szCs w:val="20"/>
        </w:rPr>
        <w:t>T: +43.(0)7242.486-2267</w:t>
      </w:r>
    </w:p>
    <w:p w:rsidR="0031450F" w:rsidRPr="00971FF4" w:rsidRDefault="0031450F" w:rsidP="0031450F">
      <w:pPr>
        <w:spacing w:line="240" w:lineRule="auto"/>
        <w:ind w:right="1843"/>
        <w:rPr>
          <w:rFonts w:cs="Arial"/>
          <w:szCs w:val="20"/>
        </w:rPr>
      </w:pPr>
      <w:r>
        <w:rPr>
          <w:rFonts w:cs="Arial"/>
          <w:szCs w:val="20"/>
        </w:rPr>
        <w:t>alexander.tahedl@tgw-group.com</w:t>
      </w:r>
    </w:p>
    <w:p w:rsidR="0031450F" w:rsidRPr="00F35FAE" w:rsidRDefault="0031450F" w:rsidP="0031450F">
      <w:pPr>
        <w:ind w:right="1843"/>
      </w:pPr>
    </w:p>
    <w:p w:rsidR="0031450F" w:rsidRPr="00067729" w:rsidRDefault="0031450F" w:rsidP="0031450F">
      <w:pPr>
        <w:spacing w:line="240" w:lineRule="auto"/>
        <w:ind w:right="1843"/>
      </w:pPr>
    </w:p>
    <w:sectPr w:rsidR="0031450F" w:rsidRPr="00067729"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4D" w:rsidRDefault="000E0C4D" w:rsidP="00764006">
      <w:pPr>
        <w:spacing w:line="240" w:lineRule="auto"/>
      </w:pPr>
      <w:r>
        <w:separator/>
      </w:r>
    </w:p>
  </w:endnote>
  <w:endnote w:type="continuationSeparator" w:id="0">
    <w:p w:rsidR="000E0C4D" w:rsidRDefault="000E0C4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fldChar w:fldCharType="begin"/>
          </w:r>
          <w:r>
            <w:rPr>
              <w:noProof/>
              <w:sz w:val="16"/>
            </w:rPr>
            <w:instrText xml:space="preserve"> PAGE   \* MERGEFORMAT </w:instrText>
          </w:r>
          <w:r>
            <w:fldChar w:fldCharType="separate"/>
          </w:r>
          <w:r w:rsidR="003D298D">
            <w:rPr>
              <w:noProof/>
              <w:sz w:val="16"/>
            </w:rPr>
            <w:t>3</w:t>
          </w:r>
          <w:r>
            <w:fldChar w:fldCharType="end"/>
          </w:r>
          <w:r>
            <w:rPr>
              <w:sz w:val="16"/>
            </w:rPr>
            <w:t xml:space="preserve"> / </w:t>
          </w:r>
          <w:r>
            <w:fldChar w:fldCharType="begin"/>
          </w:r>
          <w:r>
            <w:rPr>
              <w:noProof/>
              <w:sz w:val="16"/>
            </w:rPr>
            <w:instrText xml:space="preserve"> NUMPAGES   \* MERGEFORMAT </w:instrText>
          </w:r>
          <w:r>
            <w:fldChar w:fldCharType="separate"/>
          </w:r>
          <w:r w:rsidR="003D298D">
            <w:rPr>
              <w:noProof/>
              <w:sz w:val="16"/>
            </w:rPr>
            <w:t>3</w:t>
          </w:r>
          <w:r>
            <w:fldChar w:fldCharType="end"/>
          </w:r>
        </w:p>
      </w:tc>
    </w:tr>
  </w:tbl>
  <w:p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4D" w:rsidRDefault="000E0C4D" w:rsidP="00764006">
      <w:pPr>
        <w:spacing w:line="240" w:lineRule="auto"/>
      </w:pPr>
      <w:r>
        <w:separator/>
      </w:r>
    </w:p>
  </w:footnote>
  <w:footnote w:type="continuationSeparator" w:id="0">
    <w:p w:rsidR="000E0C4D" w:rsidRDefault="000E0C4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7216" behindDoc="0" locked="0" layoutInCell="1" allowOverlap="1" wp14:anchorId="302BC7A7" wp14:editId="1A972C6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AB72D70"/>
    <w:multiLevelType w:val="hybridMultilevel"/>
    <w:tmpl w:val="5CBE4322"/>
    <w:lvl w:ilvl="0" w:tplc="047C4A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3051"/>
    <w:rsid w:val="00047160"/>
    <w:rsid w:val="00067729"/>
    <w:rsid w:val="000733D8"/>
    <w:rsid w:val="00097CF1"/>
    <w:rsid w:val="000A490F"/>
    <w:rsid w:val="000B3582"/>
    <w:rsid w:val="000C4928"/>
    <w:rsid w:val="000C6571"/>
    <w:rsid w:val="000D418A"/>
    <w:rsid w:val="000E0C4D"/>
    <w:rsid w:val="000F504C"/>
    <w:rsid w:val="000F7D85"/>
    <w:rsid w:val="00102B91"/>
    <w:rsid w:val="00104161"/>
    <w:rsid w:val="00121BAA"/>
    <w:rsid w:val="00137F10"/>
    <w:rsid w:val="001535AA"/>
    <w:rsid w:val="00154D26"/>
    <w:rsid w:val="001603D9"/>
    <w:rsid w:val="0017018E"/>
    <w:rsid w:val="00183096"/>
    <w:rsid w:val="00185494"/>
    <w:rsid w:val="00186863"/>
    <w:rsid w:val="00193DF6"/>
    <w:rsid w:val="001C4987"/>
    <w:rsid w:val="001D081E"/>
    <w:rsid w:val="001E7058"/>
    <w:rsid w:val="00205305"/>
    <w:rsid w:val="00222B47"/>
    <w:rsid w:val="00230B9B"/>
    <w:rsid w:val="00232D4C"/>
    <w:rsid w:val="00252CD7"/>
    <w:rsid w:val="0026487A"/>
    <w:rsid w:val="00271FCA"/>
    <w:rsid w:val="002927D6"/>
    <w:rsid w:val="00292EE3"/>
    <w:rsid w:val="002A0E13"/>
    <w:rsid w:val="002A1A76"/>
    <w:rsid w:val="0031450F"/>
    <w:rsid w:val="003448D2"/>
    <w:rsid w:val="003572A1"/>
    <w:rsid w:val="003775BB"/>
    <w:rsid w:val="003A0D66"/>
    <w:rsid w:val="003A2448"/>
    <w:rsid w:val="003A798E"/>
    <w:rsid w:val="003B2FFD"/>
    <w:rsid w:val="003C2BA6"/>
    <w:rsid w:val="003C54B5"/>
    <w:rsid w:val="003D298D"/>
    <w:rsid w:val="00450B34"/>
    <w:rsid w:val="004568D6"/>
    <w:rsid w:val="00463E57"/>
    <w:rsid w:val="00470B0F"/>
    <w:rsid w:val="004B1A57"/>
    <w:rsid w:val="00526B8E"/>
    <w:rsid w:val="005278C0"/>
    <w:rsid w:val="0054502C"/>
    <w:rsid w:val="00551E0F"/>
    <w:rsid w:val="00552AEB"/>
    <w:rsid w:val="00557966"/>
    <w:rsid w:val="00584A09"/>
    <w:rsid w:val="005A33A9"/>
    <w:rsid w:val="005A382F"/>
    <w:rsid w:val="005C5590"/>
    <w:rsid w:val="005F1FCA"/>
    <w:rsid w:val="006036F9"/>
    <w:rsid w:val="006118EE"/>
    <w:rsid w:val="006225BA"/>
    <w:rsid w:val="00663539"/>
    <w:rsid w:val="006733D4"/>
    <w:rsid w:val="00674661"/>
    <w:rsid w:val="0068351C"/>
    <w:rsid w:val="00697486"/>
    <w:rsid w:val="006F23E3"/>
    <w:rsid w:val="00722318"/>
    <w:rsid w:val="007271B1"/>
    <w:rsid w:val="007502BB"/>
    <w:rsid w:val="00756BDA"/>
    <w:rsid w:val="00764006"/>
    <w:rsid w:val="00776416"/>
    <w:rsid w:val="00784714"/>
    <w:rsid w:val="007924BB"/>
    <w:rsid w:val="007A0D5E"/>
    <w:rsid w:val="007A7C45"/>
    <w:rsid w:val="007B2627"/>
    <w:rsid w:val="007B5207"/>
    <w:rsid w:val="007C60FC"/>
    <w:rsid w:val="007D0E42"/>
    <w:rsid w:val="007F591B"/>
    <w:rsid w:val="00820B46"/>
    <w:rsid w:val="00851B40"/>
    <w:rsid w:val="00864DE9"/>
    <w:rsid w:val="00865F37"/>
    <w:rsid w:val="008661BF"/>
    <w:rsid w:val="00882506"/>
    <w:rsid w:val="008A2ECC"/>
    <w:rsid w:val="008C3E23"/>
    <w:rsid w:val="008C62E5"/>
    <w:rsid w:val="008D46D1"/>
    <w:rsid w:val="008D5E42"/>
    <w:rsid w:val="008E471F"/>
    <w:rsid w:val="00911110"/>
    <w:rsid w:val="00915166"/>
    <w:rsid w:val="009252F9"/>
    <w:rsid w:val="00953D37"/>
    <w:rsid w:val="00961F54"/>
    <w:rsid w:val="00974FE4"/>
    <w:rsid w:val="0099564C"/>
    <w:rsid w:val="009B2F61"/>
    <w:rsid w:val="009B5254"/>
    <w:rsid w:val="009D29FF"/>
    <w:rsid w:val="00A06F83"/>
    <w:rsid w:val="00A25CF4"/>
    <w:rsid w:val="00A52A37"/>
    <w:rsid w:val="00A86795"/>
    <w:rsid w:val="00A943C9"/>
    <w:rsid w:val="00AA1CB4"/>
    <w:rsid w:val="00AA428F"/>
    <w:rsid w:val="00AA4F56"/>
    <w:rsid w:val="00AC4006"/>
    <w:rsid w:val="00AD2626"/>
    <w:rsid w:val="00AD3796"/>
    <w:rsid w:val="00AD5CAB"/>
    <w:rsid w:val="00AF5532"/>
    <w:rsid w:val="00AF66EA"/>
    <w:rsid w:val="00B03B65"/>
    <w:rsid w:val="00B422A2"/>
    <w:rsid w:val="00B47507"/>
    <w:rsid w:val="00B509AE"/>
    <w:rsid w:val="00B56A9C"/>
    <w:rsid w:val="00B57511"/>
    <w:rsid w:val="00B771FC"/>
    <w:rsid w:val="00B84571"/>
    <w:rsid w:val="00B949F8"/>
    <w:rsid w:val="00BE398B"/>
    <w:rsid w:val="00BF1F1A"/>
    <w:rsid w:val="00BF2D94"/>
    <w:rsid w:val="00C00CC7"/>
    <w:rsid w:val="00C15D91"/>
    <w:rsid w:val="00C46568"/>
    <w:rsid w:val="00C53A78"/>
    <w:rsid w:val="00C94EE6"/>
    <w:rsid w:val="00CF46E6"/>
    <w:rsid w:val="00D16F14"/>
    <w:rsid w:val="00D668E9"/>
    <w:rsid w:val="00D85E25"/>
    <w:rsid w:val="00D90DAC"/>
    <w:rsid w:val="00DA3493"/>
    <w:rsid w:val="00DB7A84"/>
    <w:rsid w:val="00DC36BD"/>
    <w:rsid w:val="00DD1A39"/>
    <w:rsid w:val="00DD417D"/>
    <w:rsid w:val="00DF30F2"/>
    <w:rsid w:val="00E21CBA"/>
    <w:rsid w:val="00E21D57"/>
    <w:rsid w:val="00E34080"/>
    <w:rsid w:val="00E47919"/>
    <w:rsid w:val="00E5322C"/>
    <w:rsid w:val="00E80576"/>
    <w:rsid w:val="00EA3694"/>
    <w:rsid w:val="00EA50A1"/>
    <w:rsid w:val="00EC675A"/>
    <w:rsid w:val="00ED3142"/>
    <w:rsid w:val="00EF08F2"/>
    <w:rsid w:val="00EF4081"/>
    <w:rsid w:val="00EF62C0"/>
    <w:rsid w:val="00F52AA9"/>
    <w:rsid w:val="00F6247B"/>
    <w:rsid w:val="00F67A3B"/>
    <w:rsid w:val="00F70A95"/>
    <w:rsid w:val="00F8791B"/>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3385D2"/>
  <w15:docId w15:val="{54A362A8-12E7-4D74-8BA1-E6A65A43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cs="Times New Roman"/>
      <w:b/>
      <w:bCs/>
      <w:szCs w:val="20"/>
    </w:rPr>
  </w:style>
  <w:style w:type="character" w:customStyle="1" w:styleId="TextkrperZchn">
    <w:name w:val="Textkörper Zchn"/>
    <w:basedOn w:val="Absatz-Standardschriftart"/>
    <w:link w:val="Textkrper"/>
    <w:semiHidden/>
    <w:rsid w:val="00552AEB"/>
    <w:rPr>
      <w:rFonts w:ascii="Verdana" w:eastAsia="Times New Roman" w:hAnsi="Verdana" w:cs="Times New Roman"/>
      <w:b/>
      <w:bCs/>
      <w:sz w:val="20"/>
      <w:szCs w:val="20"/>
    </w:rPr>
  </w:style>
  <w:style w:type="paragraph" w:styleId="NurText">
    <w:name w:val="Plain Text"/>
    <w:basedOn w:val="Standard"/>
    <w:link w:val="NurTextZchn"/>
    <w:semiHidden/>
    <w:unhideWhenUsed/>
    <w:rsid w:val="003C2BA6"/>
    <w:pPr>
      <w:widowControl w:val="0"/>
      <w:autoSpaceDN w:val="0"/>
      <w:adjustRightInd w:val="0"/>
      <w:spacing w:line="240" w:lineRule="auto"/>
    </w:pPr>
    <w:rPr>
      <w:rFonts w:ascii="Courier New" w:eastAsia="Times New Roman" w:hAnsi="Courier New" w:cs="Courier New"/>
      <w:szCs w:val="20"/>
    </w:rPr>
  </w:style>
  <w:style w:type="character" w:customStyle="1" w:styleId="NurTextZchn">
    <w:name w:val="Nur Text Zchn"/>
    <w:basedOn w:val="Absatz-Standardschriftart"/>
    <w:link w:val="NurText"/>
    <w:semiHidden/>
    <w:rsid w:val="003C2B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gw-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3500</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15</cp:revision>
  <cp:lastPrinted>2018-01-11T07:59:00Z</cp:lastPrinted>
  <dcterms:created xsi:type="dcterms:W3CDTF">2018-01-10T14:50:00Z</dcterms:created>
  <dcterms:modified xsi:type="dcterms:W3CDTF">2018-02-22T09:40:00Z</dcterms:modified>
</cp:coreProperties>
</file>