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EDC" w:rsidRPr="009B79A8" w:rsidRDefault="000D35B8" w:rsidP="001B3E4D">
      <w:pPr>
        <w:spacing w:before="120" w:after="240"/>
        <w:ind w:right="1837"/>
        <w:rPr>
          <w:b/>
          <w:sz w:val="28"/>
          <w:lang w:val="en-GB"/>
        </w:rPr>
      </w:pPr>
      <w:r>
        <w:rPr>
          <w:b/>
          <w:sz w:val="28"/>
          <w:lang w:val="en-GB"/>
        </w:rPr>
        <w:t xml:space="preserve">Automate freezer storage and handling with </w:t>
      </w:r>
      <w:r w:rsidR="00D138CF">
        <w:rPr>
          <w:b/>
          <w:sz w:val="28"/>
          <w:lang w:val="en-GB"/>
        </w:rPr>
        <w:t xml:space="preserve">TGW </w:t>
      </w:r>
      <w:r w:rsidR="007255D5">
        <w:rPr>
          <w:b/>
          <w:sz w:val="28"/>
          <w:lang w:val="en-GB"/>
        </w:rPr>
        <w:t>equipment engineered</w:t>
      </w:r>
      <w:r>
        <w:rPr>
          <w:b/>
          <w:sz w:val="28"/>
          <w:lang w:val="en-GB"/>
        </w:rPr>
        <w:t xml:space="preserve"> to </w:t>
      </w:r>
      <w:r w:rsidR="00D138CF">
        <w:rPr>
          <w:b/>
          <w:sz w:val="28"/>
          <w:lang w:val="en-GB"/>
        </w:rPr>
        <w:t xml:space="preserve">sub-zero </w:t>
      </w:r>
      <w:r>
        <w:rPr>
          <w:b/>
          <w:sz w:val="28"/>
          <w:lang w:val="en-GB"/>
        </w:rPr>
        <w:t>standard</w:t>
      </w:r>
      <w:r w:rsidR="007255D5">
        <w:rPr>
          <w:b/>
          <w:sz w:val="28"/>
          <w:lang w:val="en-GB"/>
        </w:rPr>
        <w:t xml:space="preserve">s </w:t>
      </w:r>
    </w:p>
    <w:p w:rsidR="00791EC3" w:rsidRPr="009B79A8" w:rsidRDefault="007255D5" w:rsidP="00791EC3">
      <w:pPr>
        <w:spacing w:before="120" w:after="240"/>
        <w:ind w:right="1837"/>
        <w:rPr>
          <w:i/>
          <w:lang w:val="en-GB"/>
        </w:rPr>
      </w:pPr>
      <w:r>
        <w:rPr>
          <w:i/>
          <w:lang w:val="en-GB"/>
        </w:rPr>
        <w:t xml:space="preserve">As the first </w:t>
      </w:r>
      <w:r w:rsidR="00791EC3" w:rsidRPr="009B79A8">
        <w:rPr>
          <w:i/>
          <w:lang w:val="en-GB"/>
        </w:rPr>
        <w:t xml:space="preserve">automated logistics solution </w:t>
      </w:r>
      <w:r>
        <w:rPr>
          <w:i/>
          <w:lang w:val="en-GB"/>
        </w:rPr>
        <w:t xml:space="preserve">provider to offer an automated freezer handling system based on standardized products and components, TGW Logistics Group meets the challenges faced by </w:t>
      </w:r>
      <w:r w:rsidR="00DA6B7F" w:rsidRPr="009B79A8">
        <w:rPr>
          <w:i/>
          <w:lang w:val="en-GB"/>
        </w:rPr>
        <w:t>cold and freezer chain</w:t>
      </w:r>
      <w:r w:rsidR="00DA6B7F">
        <w:rPr>
          <w:i/>
          <w:lang w:val="en-GB"/>
        </w:rPr>
        <w:t xml:space="preserve"> </w:t>
      </w:r>
      <w:r>
        <w:rPr>
          <w:i/>
          <w:lang w:val="en-GB"/>
        </w:rPr>
        <w:t xml:space="preserve">warehouses and distribution </w:t>
      </w:r>
      <w:proofErr w:type="spellStart"/>
      <w:r>
        <w:rPr>
          <w:i/>
          <w:lang w:val="en-GB"/>
        </w:rPr>
        <w:t>centers</w:t>
      </w:r>
      <w:proofErr w:type="spellEnd"/>
      <w:r w:rsidR="00791EC3" w:rsidRPr="009B79A8">
        <w:rPr>
          <w:i/>
          <w:lang w:val="en-GB"/>
        </w:rPr>
        <w:t xml:space="preserve"> </w:t>
      </w:r>
      <w:r>
        <w:rPr>
          <w:i/>
          <w:lang w:val="en-GB"/>
        </w:rPr>
        <w:t>while delivering the lowest total cost of ownership. E</w:t>
      </w:r>
      <w:r w:rsidR="00791EC3" w:rsidRPr="009B79A8">
        <w:rPr>
          <w:i/>
          <w:lang w:val="en-GB"/>
        </w:rPr>
        <w:t>very</w:t>
      </w:r>
      <w:r>
        <w:rPr>
          <w:i/>
          <w:lang w:val="en-GB"/>
        </w:rPr>
        <w:t xml:space="preserve"> TGW</w:t>
      </w:r>
      <w:r w:rsidR="00791EC3" w:rsidRPr="009B79A8">
        <w:rPr>
          <w:i/>
          <w:lang w:val="en-GB"/>
        </w:rPr>
        <w:t xml:space="preserve"> system, component and product can be used in temperatures from</w:t>
      </w:r>
      <w:r w:rsidR="000D35B8">
        <w:rPr>
          <w:i/>
          <w:lang w:val="en-GB"/>
        </w:rPr>
        <w:t xml:space="preserve"> 104 to -22 degrees Fahrenheit</w:t>
      </w:r>
      <w:r w:rsidR="00791EC3" w:rsidRPr="009B79A8">
        <w:rPr>
          <w:i/>
          <w:lang w:val="en-GB"/>
        </w:rPr>
        <w:t xml:space="preserve"> </w:t>
      </w:r>
      <w:r w:rsidR="000D35B8">
        <w:rPr>
          <w:i/>
          <w:lang w:val="en-GB"/>
        </w:rPr>
        <w:t>(</w:t>
      </w:r>
      <w:r w:rsidR="00791EC3" w:rsidRPr="009B79A8">
        <w:rPr>
          <w:i/>
          <w:lang w:val="en-GB"/>
        </w:rPr>
        <w:t>+40 to -30 degree</w:t>
      </w:r>
      <w:r w:rsidR="000D35B8">
        <w:rPr>
          <w:i/>
          <w:lang w:val="en-GB"/>
        </w:rPr>
        <w:t>s</w:t>
      </w:r>
      <w:r w:rsidR="00791EC3" w:rsidRPr="009B79A8">
        <w:rPr>
          <w:i/>
          <w:lang w:val="en-GB"/>
        </w:rPr>
        <w:t xml:space="preserve"> Celsius</w:t>
      </w:r>
      <w:r w:rsidR="000D35B8">
        <w:rPr>
          <w:i/>
          <w:lang w:val="en-GB"/>
        </w:rPr>
        <w:t>)</w:t>
      </w:r>
      <w:r w:rsidR="00791EC3" w:rsidRPr="009B79A8">
        <w:rPr>
          <w:i/>
          <w:lang w:val="en-GB"/>
        </w:rPr>
        <w:t>.</w:t>
      </w:r>
    </w:p>
    <w:p w:rsidR="007255D5" w:rsidRDefault="007255D5" w:rsidP="001B3E4D">
      <w:pPr>
        <w:spacing w:before="120" w:after="240"/>
        <w:ind w:right="1837"/>
        <w:rPr>
          <w:lang w:val="en-GB"/>
        </w:rPr>
      </w:pPr>
      <w:r>
        <w:rPr>
          <w:lang w:val="en-GB"/>
        </w:rPr>
        <w:t xml:space="preserve">Frozen </w:t>
      </w:r>
      <w:r w:rsidR="001B3E4D" w:rsidRPr="009B79A8">
        <w:rPr>
          <w:lang w:val="en-GB"/>
        </w:rPr>
        <w:t>pizza</w:t>
      </w:r>
      <w:r>
        <w:rPr>
          <w:lang w:val="en-GB"/>
        </w:rPr>
        <w:t>, vegetables or ice cream — before a consumer</w:t>
      </w:r>
      <w:r w:rsidR="001B3E4D" w:rsidRPr="009B79A8">
        <w:rPr>
          <w:lang w:val="en-GB"/>
        </w:rPr>
        <w:t xml:space="preserve"> bring</w:t>
      </w:r>
      <w:r>
        <w:rPr>
          <w:lang w:val="en-GB"/>
        </w:rPr>
        <w:t>s</w:t>
      </w:r>
      <w:r w:rsidR="001B3E4D" w:rsidRPr="009B79A8">
        <w:rPr>
          <w:lang w:val="en-GB"/>
        </w:rPr>
        <w:t xml:space="preserve"> frozen food</w:t>
      </w:r>
      <w:r>
        <w:rPr>
          <w:lang w:val="en-GB"/>
        </w:rPr>
        <w:t xml:space="preserve"> home </w:t>
      </w:r>
      <w:r w:rsidR="001B3E4D" w:rsidRPr="009B79A8">
        <w:rPr>
          <w:lang w:val="en-GB"/>
        </w:rPr>
        <w:t xml:space="preserve">it travels through an unbroken cold chain. </w:t>
      </w:r>
      <w:r>
        <w:rPr>
          <w:lang w:val="en-GB"/>
        </w:rPr>
        <w:t>“</w:t>
      </w:r>
      <w:r w:rsidR="00DA6B7F">
        <w:rPr>
          <w:lang w:val="en-GB"/>
        </w:rPr>
        <w:t>E</w:t>
      </w:r>
      <w:r>
        <w:rPr>
          <w:lang w:val="en-GB"/>
        </w:rPr>
        <w:t xml:space="preserve">nsuring </w:t>
      </w:r>
      <w:r w:rsidR="001B3E4D" w:rsidRPr="009B79A8">
        <w:rPr>
          <w:lang w:val="en-GB"/>
        </w:rPr>
        <w:t xml:space="preserve">the highest possible quality is crucial when it comes to food," </w:t>
      </w:r>
      <w:r>
        <w:rPr>
          <w:lang w:val="en-GB"/>
        </w:rPr>
        <w:t>says</w:t>
      </w:r>
      <w:r w:rsidRPr="009B79A8">
        <w:rPr>
          <w:lang w:val="en-GB"/>
        </w:rPr>
        <w:t xml:space="preserve"> </w:t>
      </w:r>
      <w:r w:rsidR="001B3E4D" w:rsidRPr="009B79A8">
        <w:rPr>
          <w:lang w:val="en-GB"/>
        </w:rPr>
        <w:t xml:space="preserve">Michael Schedlbauer, Industry Manager for grocery retail at TGW. </w:t>
      </w:r>
      <w:r>
        <w:rPr>
          <w:lang w:val="en-GB"/>
        </w:rPr>
        <w:t>“We understand that h</w:t>
      </w:r>
      <w:r w:rsidR="001B3E4D" w:rsidRPr="009B79A8">
        <w:rPr>
          <w:lang w:val="en-GB"/>
        </w:rPr>
        <w:t xml:space="preserve">igh-performance freezer material handling technology contributes to </w:t>
      </w:r>
      <w:r w:rsidR="00DA6B7F">
        <w:rPr>
          <w:lang w:val="en-GB"/>
        </w:rPr>
        <w:t>meeting</w:t>
      </w:r>
      <w:r w:rsidR="00DA6B7F" w:rsidRPr="009B79A8">
        <w:rPr>
          <w:lang w:val="en-GB"/>
        </w:rPr>
        <w:t xml:space="preserve"> </w:t>
      </w:r>
      <w:r w:rsidR="001B3E4D" w:rsidRPr="009B79A8">
        <w:rPr>
          <w:lang w:val="en-GB"/>
        </w:rPr>
        <w:t>high quality standards</w:t>
      </w:r>
      <w:r>
        <w:rPr>
          <w:lang w:val="en-GB"/>
        </w:rPr>
        <w:t xml:space="preserve">. For us, freezer logistics is the standard to which all of our </w:t>
      </w:r>
      <w:r w:rsidR="001B3E4D" w:rsidRPr="009B79A8">
        <w:rPr>
          <w:lang w:val="en-GB"/>
        </w:rPr>
        <w:t>logistics solution</w:t>
      </w:r>
      <w:r>
        <w:rPr>
          <w:lang w:val="en-GB"/>
        </w:rPr>
        <w:t xml:space="preserve">s are designed and </w:t>
      </w:r>
      <w:proofErr w:type="gramStart"/>
      <w:r>
        <w:rPr>
          <w:lang w:val="en-GB"/>
        </w:rPr>
        <w:t>engineered</w:t>
      </w:r>
      <w:proofErr w:type="gramEnd"/>
      <w:r>
        <w:rPr>
          <w:lang w:val="en-GB"/>
        </w:rPr>
        <w:t>.”</w:t>
      </w:r>
    </w:p>
    <w:p w:rsidR="0079196A" w:rsidRPr="009B79A8" w:rsidRDefault="0079196A" w:rsidP="001B3E4D">
      <w:pPr>
        <w:spacing w:before="120" w:after="240"/>
        <w:ind w:right="1837"/>
        <w:rPr>
          <w:b/>
          <w:lang w:val="en-GB"/>
        </w:rPr>
      </w:pPr>
      <w:r w:rsidRPr="009B79A8">
        <w:rPr>
          <w:b/>
          <w:lang w:val="en-GB"/>
        </w:rPr>
        <w:t>Standardi</w:t>
      </w:r>
      <w:r w:rsidR="00DA6B7F">
        <w:rPr>
          <w:b/>
          <w:lang w:val="en-GB"/>
        </w:rPr>
        <w:t>z</w:t>
      </w:r>
      <w:r w:rsidRPr="009B79A8">
        <w:rPr>
          <w:b/>
          <w:lang w:val="en-GB"/>
        </w:rPr>
        <w:t xml:space="preserve">ed TGW freezer solution </w:t>
      </w:r>
      <w:r w:rsidR="00F4497A">
        <w:rPr>
          <w:b/>
          <w:lang w:val="en-GB"/>
        </w:rPr>
        <w:t>increases productivity, lowers total cost of ownership</w:t>
      </w:r>
    </w:p>
    <w:p w:rsidR="004D6CC4" w:rsidRDefault="004D6CC4" w:rsidP="004D6CC4">
      <w:pPr>
        <w:spacing w:before="120" w:after="240"/>
        <w:ind w:right="1837"/>
        <w:rPr>
          <w:lang w:val="en-GB"/>
        </w:rPr>
      </w:pPr>
      <w:r>
        <w:rPr>
          <w:lang w:val="en-GB"/>
        </w:rPr>
        <w:t>Because</w:t>
      </w:r>
      <w:r w:rsidRPr="009B79A8">
        <w:rPr>
          <w:lang w:val="en-GB"/>
        </w:rPr>
        <w:t xml:space="preserve"> TGW experts have </w:t>
      </w:r>
      <w:r>
        <w:rPr>
          <w:lang w:val="en-GB"/>
        </w:rPr>
        <w:t xml:space="preserve">been automating </w:t>
      </w:r>
      <w:r w:rsidRPr="009B79A8">
        <w:rPr>
          <w:lang w:val="en-GB"/>
        </w:rPr>
        <w:t xml:space="preserve">freezer warehouses </w:t>
      </w:r>
      <w:r>
        <w:rPr>
          <w:lang w:val="en-GB"/>
        </w:rPr>
        <w:t>end-to-end —</w:t>
      </w:r>
      <w:r w:rsidRPr="009B79A8">
        <w:rPr>
          <w:lang w:val="en-GB"/>
        </w:rPr>
        <w:t xml:space="preserve"> from </w:t>
      </w:r>
      <w:r>
        <w:rPr>
          <w:lang w:val="en-GB"/>
        </w:rPr>
        <w:t>in-bound</w:t>
      </w:r>
      <w:r w:rsidRPr="009B79A8">
        <w:rPr>
          <w:lang w:val="en-GB"/>
        </w:rPr>
        <w:t xml:space="preserve"> receiving to </w:t>
      </w:r>
      <w:r>
        <w:rPr>
          <w:lang w:val="en-GB"/>
        </w:rPr>
        <w:t>out-bound shipping and all points in between —</w:t>
      </w:r>
      <w:r w:rsidRPr="009B79A8">
        <w:rPr>
          <w:lang w:val="en-GB"/>
        </w:rPr>
        <w:t xml:space="preserve"> for years</w:t>
      </w:r>
      <w:r>
        <w:rPr>
          <w:lang w:val="en-GB"/>
        </w:rPr>
        <w:t xml:space="preserve">, they leveraged that knowledge </w:t>
      </w:r>
      <w:r w:rsidRPr="009B79A8">
        <w:rPr>
          <w:lang w:val="en-GB"/>
        </w:rPr>
        <w:t xml:space="preserve">into the development of the </w:t>
      </w:r>
      <w:r>
        <w:rPr>
          <w:lang w:val="en-GB"/>
        </w:rPr>
        <w:t>Stingray S</w:t>
      </w:r>
      <w:r w:rsidRPr="009B79A8">
        <w:rPr>
          <w:lang w:val="en-GB"/>
        </w:rPr>
        <w:t>huttle</w:t>
      </w:r>
      <w:r>
        <w:rPr>
          <w:lang w:val="en-GB"/>
        </w:rPr>
        <w:t xml:space="preserve"> storage and retrieval</w:t>
      </w:r>
      <w:r w:rsidRPr="009B79A8">
        <w:rPr>
          <w:lang w:val="en-GB"/>
        </w:rPr>
        <w:t xml:space="preserve"> technology. </w:t>
      </w:r>
    </w:p>
    <w:p w:rsidR="00DA6B7F" w:rsidRPr="00F4497A" w:rsidRDefault="00DA6B7F" w:rsidP="001B3E4D">
      <w:pPr>
        <w:spacing w:before="120" w:after="240"/>
        <w:ind w:right="1837"/>
        <w:rPr>
          <w:lang w:val="en-GB"/>
        </w:rPr>
      </w:pPr>
      <w:r w:rsidRPr="00F4497A">
        <w:rPr>
          <w:lang w:val="en-GB"/>
        </w:rPr>
        <w:t>The</w:t>
      </w:r>
      <w:r w:rsidR="0079196A" w:rsidRPr="00F4497A">
        <w:rPr>
          <w:lang w:val="en-GB"/>
        </w:rPr>
        <w:t xml:space="preserve"> </w:t>
      </w:r>
      <w:r w:rsidR="00F57EB7">
        <w:rPr>
          <w:lang w:val="en-GB"/>
        </w:rPr>
        <w:t xml:space="preserve">all-wheel-drive </w:t>
      </w:r>
      <w:r w:rsidR="0079196A" w:rsidRPr="00F4497A">
        <w:rPr>
          <w:lang w:val="en-GB"/>
        </w:rPr>
        <w:t xml:space="preserve">Stingray Shuttle </w:t>
      </w:r>
      <w:r w:rsidRPr="00F4497A">
        <w:rPr>
          <w:lang w:val="en-GB"/>
        </w:rPr>
        <w:t xml:space="preserve">can be installed and operated </w:t>
      </w:r>
      <w:r w:rsidRPr="004D6CC4">
        <w:rPr>
          <w:lang w:val="en-GB"/>
        </w:rPr>
        <w:t>in temperatures from 104 to -22 degrees Fahrenheit (+40 to -30 degrees Celsius).</w:t>
      </w:r>
      <w:r w:rsidR="004D6CC4">
        <w:rPr>
          <w:lang w:val="en-GB"/>
        </w:rPr>
        <w:t xml:space="preserve"> “</w:t>
      </w:r>
      <w:r w:rsidR="0079196A" w:rsidRPr="00F4497A">
        <w:rPr>
          <w:lang w:val="en-GB"/>
        </w:rPr>
        <w:t xml:space="preserve">For </w:t>
      </w:r>
      <w:r w:rsidRPr="00F4497A">
        <w:rPr>
          <w:lang w:val="en-GB"/>
        </w:rPr>
        <w:t>sub-zero environments</w:t>
      </w:r>
      <w:r w:rsidR="0079196A" w:rsidRPr="00F4497A">
        <w:rPr>
          <w:lang w:val="en-GB"/>
        </w:rPr>
        <w:t xml:space="preserve">, </w:t>
      </w:r>
      <w:r w:rsidRPr="00F4497A">
        <w:rPr>
          <w:lang w:val="en-GB"/>
        </w:rPr>
        <w:t xml:space="preserve">we modify the Stingray with </w:t>
      </w:r>
      <w:r w:rsidR="0079196A" w:rsidRPr="00F4497A">
        <w:rPr>
          <w:lang w:val="en-GB"/>
        </w:rPr>
        <w:t xml:space="preserve">two components manufactured from materials </w:t>
      </w:r>
      <w:r w:rsidRPr="00F4497A">
        <w:rPr>
          <w:lang w:val="en-GB"/>
        </w:rPr>
        <w:t>that more readily adapt to the freezer conditions — similar to winterizing a car</w:t>
      </w:r>
      <w:r w:rsidR="0079196A" w:rsidRPr="00F4497A">
        <w:rPr>
          <w:lang w:val="en-GB"/>
        </w:rPr>
        <w:t>,</w:t>
      </w:r>
      <w:r w:rsidR="004D6CC4">
        <w:rPr>
          <w:lang w:val="en-GB"/>
        </w:rPr>
        <w:t>”</w:t>
      </w:r>
      <w:r w:rsidR="0079196A" w:rsidRPr="00F4497A">
        <w:rPr>
          <w:lang w:val="en-GB"/>
        </w:rPr>
        <w:t xml:space="preserve"> Schedlbauer</w:t>
      </w:r>
      <w:r w:rsidRPr="00F4497A">
        <w:rPr>
          <w:lang w:val="en-GB"/>
        </w:rPr>
        <w:t xml:space="preserve"> notes</w:t>
      </w:r>
      <w:r w:rsidR="0079196A" w:rsidRPr="00F4497A">
        <w:rPr>
          <w:lang w:val="en-GB"/>
        </w:rPr>
        <w:t xml:space="preserve">. </w:t>
      </w:r>
      <w:r w:rsidR="004D6CC4">
        <w:rPr>
          <w:lang w:val="en-GB"/>
        </w:rPr>
        <w:t>“</w:t>
      </w:r>
      <w:r w:rsidR="00F4497A" w:rsidRPr="009B79A8">
        <w:rPr>
          <w:lang w:val="en-GB"/>
        </w:rPr>
        <w:t xml:space="preserve">The performance of the freezer technology is </w:t>
      </w:r>
      <w:r w:rsidR="00F4497A">
        <w:rPr>
          <w:lang w:val="en-GB"/>
        </w:rPr>
        <w:t>equal to that of equipment operating in</w:t>
      </w:r>
      <w:r w:rsidR="00F4497A" w:rsidRPr="009B79A8">
        <w:rPr>
          <w:lang w:val="en-GB"/>
        </w:rPr>
        <w:t xml:space="preserve"> normal temperatures</w:t>
      </w:r>
      <w:r w:rsidR="00F4497A">
        <w:rPr>
          <w:lang w:val="en-GB"/>
        </w:rPr>
        <w:t xml:space="preserve">.” </w:t>
      </w:r>
    </w:p>
    <w:p w:rsidR="00F4497A" w:rsidRDefault="00F4497A" w:rsidP="001B3E4D">
      <w:pPr>
        <w:spacing w:before="120" w:after="240"/>
        <w:ind w:right="1837"/>
        <w:rPr>
          <w:lang w:val="en-GB"/>
        </w:rPr>
      </w:pPr>
      <w:r>
        <w:rPr>
          <w:lang w:val="en-GB"/>
        </w:rPr>
        <w:t xml:space="preserve">Automation of freezer and cold storage warehouses within the retail grocery industry — from </w:t>
      </w:r>
      <w:proofErr w:type="spellStart"/>
      <w:r>
        <w:rPr>
          <w:lang w:val="en-GB"/>
        </w:rPr>
        <w:t>depalletizing</w:t>
      </w:r>
      <w:proofErr w:type="spellEnd"/>
      <w:r>
        <w:rPr>
          <w:lang w:val="en-GB"/>
        </w:rPr>
        <w:t xml:space="preserve"> to storage to picking to transport to palletizing — offers a variety of benefits, including increased worker productivity. Fully automated solutions improve worker comfort and ergonomics in physically demanding freezer environments, allowing them to pick more products in less time.</w:t>
      </w:r>
    </w:p>
    <w:p w:rsidR="00F4497A" w:rsidRDefault="00F4497A" w:rsidP="00F4497A">
      <w:pPr>
        <w:spacing w:before="120" w:after="240"/>
        <w:ind w:right="1837"/>
        <w:rPr>
          <w:lang w:val="en-GB"/>
        </w:rPr>
      </w:pPr>
      <w:r>
        <w:rPr>
          <w:lang w:val="en-GB"/>
        </w:rPr>
        <w:lastRenderedPageBreak/>
        <w:t xml:space="preserve">Further, for ease of maintenance and repairs, the Stingray Shuttles can be removed from their aisles via a special lift, </w:t>
      </w:r>
      <w:proofErr w:type="gramStart"/>
      <w:r>
        <w:rPr>
          <w:lang w:val="en-GB"/>
        </w:rPr>
        <w:t>then</w:t>
      </w:r>
      <w:proofErr w:type="gramEnd"/>
      <w:r>
        <w:rPr>
          <w:lang w:val="en-GB"/>
        </w:rPr>
        <w:t xml:space="preserve"> serviced in an area with more ambient temperatures</w:t>
      </w:r>
      <w:r w:rsidR="00D046B7">
        <w:rPr>
          <w:lang w:val="en-GB"/>
        </w:rPr>
        <w:t xml:space="preserve"> for faster and more reliable work</w:t>
      </w:r>
      <w:r>
        <w:rPr>
          <w:lang w:val="en-GB"/>
        </w:rPr>
        <w:t xml:space="preserve">. </w:t>
      </w:r>
    </w:p>
    <w:p w:rsidR="00F4497A" w:rsidRDefault="00F4497A" w:rsidP="00F4497A">
      <w:pPr>
        <w:spacing w:before="120" w:after="240"/>
        <w:ind w:right="1837"/>
        <w:rPr>
          <w:lang w:val="en-GB"/>
        </w:rPr>
      </w:pPr>
      <w:r>
        <w:rPr>
          <w:lang w:val="en-GB"/>
        </w:rPr>
        <w:t xml:space="preserve">Additionally, the compact construction of the shuttle storage and retrieval system </w:t>
      </w:r>
      <w:r w:rsidR="000448F0">
        <w:rPr>
          <w:lang w:val="en-GB"/>
        </w:rPr>
        <w:t>supports high storage density. That enables more products to be stored within a smaller facility footprint and greater energy efficiency — a key contributor to lowering total cost of ownership, adds Schedlbauer.</w:t>
      </w:r>
    </w:p>
    <w:p w:rsidR="00F4497A" w:rsidRPr="009B79A8" w:rsidRDefault="000448F0" w:rsidP="00F4497A">
      <w:pPr>
        <w:spacing w:before="120" w:after="240"/>
        <w:ind w:right="1837"/>
        <w:rPr>
          <w:lang w:val="en-GB"/>
        </w:rPr>
      </w:pPr>
      <w:r>
        <w:rPr>
          <w:lang w:val="en-GB"/>
        </w:rPr>
        <w:t>“</w:t>
      </w:r>
      <w:r w:rsidR="00F4497A" w:rsidRPr="009B79A8">
        <w:rPr>
          <w:lang w:val="en-GB"/>
        </w:rPr>
        <w:t xml:space="preserve">Especially in </w:t>
      </w:r>
      <w:r>
        <w:rPr>
          <w:lang w:val="en-GB"/>
        </w:rPr>
        <w:t>sub-zero</w:t>
      </w:r>
      <w:r w:rsidR="00F4497A" w:rsidRPr="009B79A8">
        <w:rPr>
          <w:lang w:val="en-GB"/>
        </w:rPr>
        <w:t xml:space="preserve"> temperatures</w:t>
      </w:r>
      <w:r>
        <w:rPr>
          <w:lang w:val="en-GB"/>
        </w:rPr>
        <w:t>,</w:t>
      </w:r>
      <w:r w:rsidR="00F4497A" w:rsidRPr="009B79A8">
        <w:rPr>
          <w:lang w:val="en-GB"/>
        </w:rPr>
        <w:t xml:space="preserve"> it is crucial to consider the operating costs and the energy efficiency</w:t>
      </w:r>
      <w:r w:rsidR="00D046B7">
        <w:rPr>
          <w:lang w:val="en-GB"/>
        </w:rPr>
        <w:t xml:space="preserve"> of an automated solution</w:t>
      </w:r>
      <w:r>
        <w:rPr>
          <w:lang w:val="en-GB"/>
        </w:rPr>
        <w:t>. Because a</w:t>
      </w:r>
      <w:r w:rsidR="00F4497A" w:rsidRPr="009B79A8">
        <w:rPr>
          <w:lang w:val="en-GB"/>
        </w:rPr>
        <w:t xml:space="preserve"> shuttle warehouse needs less space and </w:t>
      </w:r>
      <w:r>
        <w:rPr>
          <w:lang w:val="en-GB"/>
        </w:rPr>
        <w:t xml:space="preserve">delivers </w:t>
      </w:r>
      <w:r w:rsidR="00F4497A" w:rsidRPr="009B79A8">
        <w:rPr>
          <w:lang w:val="en-GB"/>
        </w:rPr>
        <w:t>a higher storage density</w:t>
      </w:r>
      <w:r>
        <w:rPr>
          <w:lang w:val="en-GB"/>
        </w:rPr>
        <w:t xml:space="preserve">, it </w:t>
      </w:r>
      <w:r w:rsidR="00D046B7">
        <w:rPr>
          <w:lang w:val="en-GB"/>
        </w:rPr>
        <w:t>yields</w:t>
      </w:r>
      <w:r>
        <w:rPr>
          <w:lang w:val="en-GB"/>
        </w:rPr>
        <w:t xml:space="preserve"> significantly less </w:t>
      </w:r>
      <w:r w:rsidR="00D046B7">
        <w:rPr>
          <w:lang w:val="en-GB"/>
        </w:rPr>
        <w:t>area</w:t>
      </w:r>
      <w:r>
        <w:rPr>
          <w:lang w:val="en-GB"/>
        </w:rPr>
        <w:t xml:space="preserve"> that has to be cooled. That translates into significantly </w:t>
      </w:r>
      <w:r w:rsidR="00D046B7">
        <w:rPr>
          <w:lang w:val="en-GB"/>
        </w:rPr>
        <w:t>lower</w:t>
      </w:r>
      <w:r>
        <w:rPr>
          <w:lang w:val="en-GB"/>
        </w:rPr>
        <w:t xml:space="preserve"> energy costs,” he explains. </w:t>
      </w:r>
    </w:p>
    <w:p w:rsidR="00F20583" w:rsidRPr="009B79A8" w:rsidRDefault="00F20583" w:rsidP="00F4497A">
      <w:pPr>
        <w:spacing w:before="120" w:after="240"/>
        <w:ind w:right="1837"/>
        <w:rPr>
          <w:b/>
          <w:lang w:val="en-GB"/>
        </w:rPr>
      </w:pPr>
      <w:r w:rsidRPr="009B79A8">
        <w:rPr>
          <w:b/>
          <w:lang w:val="en-GB"/>
        </w:rPr>
        <w:t>Coop</w:t>
      </w:r>
      <w:r w:rsidR="000448F0">
        <w:rPr>
          <w:b/>
          <w:lang w:val="en-GB"/>
        </w:rPr>
        <w:t>’s</w:t>
      </w:r>
      <w:r w:rsidRPr="009B79A8">
        <w:rPr>
          <w:b/>
          <w:lang w:val="en-GB"/>
        </w:rPr>
        <w:t xml:space="preserve"> fully automatic, energy efficient freezer warehouse</w:t>
      </w:r>
    </w:p>
    <w:p w:rsidR="00DA6B7F" w:rsidRPr="009B79A8" w:rsidRDefault="00DA6B7F" w:rsidP="00DA6B7F">
      <w:pPr>
        <w:spacing w:before="120" w:after="240"/>
        <w:ind w:right="1837"/>
        <w:rPr>
          <w:lang w:val="en-GB"/>
        </w:rPr>
      </w:pPr>
      <w:r w:rsidRPr="009B79A8">
        <w:rPr>
          <w:lang w:val="en-GB"/>
        </w:rPr>
        <w:t xml:space="preserve">"TGW </w:t>
      </w:r>
      <w:r>
        <w:rPr>
          <w:lang w:val="en-GB"/>
        </w:rPr>
        <w:t>was</w:t>
      </w:r>
      <w:r w:rsidRPr="009B79A8">
        <w:rPr>
          <w:lang w:val="en-GB"/>
        </w:rPr>
        <w:t xml:space="preserve"> the first company </w:t>
      </w:r>
      <w:r>
        <w:rPr>
          <w:lang w:val="en-GB"/>
        </w:rPr>
        <w:t>to bring</w:t>
      </w:r>
      <w:r w:rsidRPr="009B79A8">
        <w:rPr>
          <w:lang w:val="en-GB"/>
        </w:rPr>
        <w:t xml:space="preserve"> a standardised shuttle system for freezer warehouses onto the market. Our largest shuttle-based freezer solution </w:t>
      </w:r>
      <w:r>
        <w:rPr>
          <w:lang w:val="en-GB"/>
        </w:rPr>
        <w:t>to date, for Swiss retail grocer Coop,</w:t>
      </w:r>
      <w:r w:rsidRPr="009B79A8">
        <w:rPr>
          <w:lang w:val="en-GB"/>
        </w:rPr>
        <w:t xml:space="preserve"> went live a short time ago," </w:t>
      </w:r>
      <w:proofErr w:type="gramStart"/>
      <w:r>
        <w:rPr>
          <w:lang w:val="en-GB"/>
        </w:rPr>
        <w:t>Schedlbauer</w:t>
      </w:r>
      <w:proofErr w:type="gramEnd"/>
      <w:r>
        <w:rPr>
          <w:lang w:val="en-GB"/>
        </w:rPr>
        <w:t xml:space="preserve"> </w:t>
      </w:r>
      <w:r w:rsidR="000448F0">
        <w:rPr>
          <w:lang w:val="en-GB"/>
        </w:rPr>
        <w:t>continues</w:t>
      </w:r>
      <w:r w:rsidRPr="009B79A8">
        <w:rPr>
          <w:lang w:val="en-GB"/>
        </w:rPr>
        <w:t>.</w:t>
      </w:r>
    </w:p>
    <w:p w:rsidR="00DA6B7F" w:rsidRPr="009B79A8" w:rsidRDefault="00DA6B7F" w:rsidP="00DA6B7F">
      <w:pPr>
        <w:spacing w:before="120" w:after="240"/>
        <w:ind w:right="1837"/>
        <w:rPr>
          <w:lang w:val="en-GB"/>
        </w:rPr>
      </w:pPr>
      <w:r w:rsidRPr="009B79A8">
        <w:rPr>
          <w:lang w:val="en-GB"/>
        </w:rPr>
        <w:t xml:space="preserve">At the Coop site in </w:t>
      </w:r>
      <w:proofErr w:type="spellStart"/>
      <w:r w:rsidRPr="009B79A8">
        <w:rPr>
          <w:lang w:val="en-GB"/>
        </w:rPr>
        <w:t>Schafisheim</w:t>
      </w:r>
      <w:proofErr w:type="spellEnd"/>
      <w:r w:rsidRPr="009B79A8">
        <w:rPr>
          <w:lang w:val="en-GB"/>
        </w:rPr>
        <w:t xml:space="preserve">, Switzerland, TGW implemented an extensive logistics system </w:t>
      </w:r>
      <w:r w:rsidR="000448F0">
        <w:rPr>
          <w:lang w:val="en-GB"/>
        </w:rPr>
        <w:t>comprising</w:t>
      </w:r>
      <w:r w:rsidRPr="009B79A8">
        <w:rPr>
          <w:lang w:val="en-GB"/>
        </w:rPr>
        <w:t xml:space="preserve"> not only </w:t>
      </w:r>
      <w:r w:rsidR="000448F0">
        <w:rPr>
          <w:lang w:val="en-GB"/>
        </w:rPr>
        <w:t>a</w:t>
      </w:r>
      <w:r w:rsidRPr="009B79A8">
        <w:rPr>
          <w:lang w:val="en-GB"/>
        </w:rPr>
        <w:t xml:space="preserve"> fully automatic freezer warehouse but also </w:t>
      </w:r>
      <w:r w:rsidR="000448F0">
        <w:rPr>
          <w:lang w:val="en-GB"/>
        </w:rPr>
        <w:t>a</w:t>
      </w:r>
      <w:r w:rsidRPr="009B79A8">
        <w:rPr>
          <w:lang w:val="en-GB"/>
        </w:rPr>
        <w:t xml:space="preserve"> warehouse for </w:t>
      </w:r>
      <w:r>
        <w:rPr>
          <w:lang w:val="en-GB"/>
        </w:rPr>
        <w:t>dry goods</w:t>
      </w:r>
      <w:r w:rsidRPr="009B79A8">
        <w:rPr>
          <w:lang w:val="en-GB"/>
        </w:rPr>
        <w:t xml:space="preserve">, </w:t>
      </w:r>
      <w:r w:rsidR="00735B00">
        <w:rPr>
          <w:lang w:val="en-GB"/>
        </w:rPr>
        <w:t xml:space="preserve">a cooler area </w:t>
      </w:r>
      <w:r w:rsidRPr="009B79A8">
        <w:rPr>
          <w:lang w:val="en-GB"/>
        </w:rPr>
        <w:t xml:space="preserve">and an empty </w:t>
      </w:r>
      <w:r>
        <w:rPr>
          <w:lang w:val="en-GB"/>
        </w:rPr>
        <w:t>totes</w:t>
      </w:r>
      <w:r w:rsidRPr="009B79A8">
        <w:rPr>
          <w:lang w:val="en-GB"/>
        </w:rPr>
        <w:t xml:space="preserve"> </w:t>
      </w:r>
      <w:proofErr w:type="spellStart"/>
      <w:r w:rsidRPr="009B79A8">
        <w:rPr>
          <w:lang w:val="en-GB"/>
        </w:rPr>
        <w:t>cent</w:t>
      </w:r>
      <w:r w:rsidR="000448F0">
        <w:rPr>
          <w:lang w:val="en-GB"/>
        </w:rPr>
        <w:t>er</w:t>
      </w:r>
      <w:proofErr w:type="spellEnd"/>
      <w:r w:rsidRPr="009B79A8">
        <w:rPr>
          <w:lang w:val="en-GB"/>
        </w:rPr>
        <w:t xml:space="preserve">. </w:t>
      </w:r>
      <w:r w:rsidR="00735B00">
        <w:rPr>
          <w:lang w:val="en-GB"/>
        </w:rPr>
        <w:t>Temperatures range from</w:t>
      </w:r>
      <w:r w:rsidRPr="009B79A8">
        <w:rPr>
          <w:lang w:val="en-GB"/>
        </w:rPr>
        <w:t xml:space="preserve"> </w:t>
      </w:r>
      <w:r w:rsidR="000448F0">
        <w:rPr>
          <w:lang w:val="en-GB"/>
        </w:rPr>
        <w:t>-13 degrees Fahrenheit (</w:t>
      </w:r>
      <w:r w:rsidRPr="009B79A8">
        <w:rPr>
          <w:lang w:val="en-GB"/>
        </w:rPr>
        <w:t>-25 degree</w:t>
      </w:r>
      <w:r w:rsidR="000448F0">
        <w:rPr>
          <w:lang w:val="en-GB"/>
        </w:rPr>
        <w:t>s</w:t>
      </w:r>
      <w:r w:rsidRPr="009B79A8">
        <w:rPr>
          <w:lang w:val="en-GB"/>
        </w:rPr>
        <w:t xml:space="preserve"> Celsius</w:t>
      </w:r>
      <w:r w:rsidR="000448F0">
        <w:rPr>
          <w:lang w:val="en-GB"/>
        </w:rPr>
        <w:t>)</w:t>
      </w:r>
      <w:r w:rsidR="00735B00">
        <w:rPr>
          <w:lang w:val="en-GB"/>
        </w:rPr>
        <w:t xml:space="preserve"> in the freezer</w:t>
      </w:r>
      <w:r w:rsidR="00D046B7">
        <w:rPr>
          <w:lang w:val="en-GB"/>
        </w:rPr>
        <w:t>,</w:t>
      </w:r>
      <w:r w:rsidRPr="009B79A8">
        <w:rPr>
          <w:lang w:val="en-GB"/>
        </w:rPr>
        <w:t xml:space="preserve"> to </w:t>
      </w:r>
      <w:r w:rsidR="000448F0">
        <w:rPr>
          <w:lang w:val="en-GB"/>
        </w:rPr>
        <w:t>ambient</w:t>
      </w:r>
      <w:r w:rsidRPr="009B79A8">
        <w:rPr>
          <w:lang w:val="en-GB"/>
        </w:rPr>
        <w:t xml:space="preserve"> </w:t>
      </w:r>
      <w:r w:rsidR="000448F0">
        <w:rPr>
          <w:lang w:val="en-GB"/>
        </w:rPr>
        <w:t>conditions</w:t>
      </w:r>
      <w:r w:rsidRPr="009B79A8">
        <w:rPr>
          <w:lang w:val="en-GB"/>
        </w:rPr>
        <w:t xml:space="preserve"> for dry goods.</w:t>
      </w:r>
    </w:p>
    <w:p w:rsidR="0022263C" w:rsidRPr="009B79A8" w:rsidRDefault="00F57EB7" w:rsidP="004D6CC4">
      <w:pPr>
        <w:spacing w:before="120" w:after="240"/>
        <w:ind w:right="1837"/>
        <w:rPr>
          <w:lang w:val="en-GB"/>
        </w:rPr>
      </w:pPr>
      <w:r>
        <w:rPr>
          <w:lang w:val="en-GB"/>
        </w:rPr>
        <w:t xml:space="preserve">Within the Coop facility, frozen products </w:t>
      </w:r>
      <w:bookmarkStart w:id="0" w:name="_GoBack"/>
      <w:bookmarkEnd w:id="0"/>
      <w:r>
        <w:rPr>
          <w:lang w:val="en-GB"/>
        </w:rPr>
        <w:t>are stored in a pallet warehouse with 17,000 storage locations, maintained at  -13 degrees Fahrenheit (</w:t>
      </w:r>
      <w:r w:rsidRPr="009B79A8">
        <w:rPr>
          <w:lang w:val="en-GB"/>
        </w:rPr>
        <w:t>-25 degree</w:t>
      </w:r>
      <w:r>
        <w:rPr>
          <w:lang w:val="en-GB"/>
        </w:rPr>
        <w:t>s</w:t>
      </w:r>
      <w:r w:rsidRPr="009B79A8">
        <w:rPr>
          <w:lang w:val="en-GB"/>
        </w:rPr>
        <w:t xml:space="preserve"> Celsius</w:t>
      </w:r>
      <w:r>
        <w:rPr>
          <w:lang w:val="en-GB"/>
        </w:rPr>
        <w:t xml:space="preserve">). TGW </w:t>
      </w:r>
      <w:proofErr w:type="spellStart"/>
      <w:r>
        <w:rPr>
          <w:lang w:val="en-GB"/>
        </w:rPr>
        <w:t>Splitex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depalletizing</w:t>
      </w:r>
      <w:proofErr w:type="spellEnd"/>
      <w:r>
        <w:rPr>
          <w:lang w:val="en-GB"/>
        </w:rPr>
        <w:t xml:space="preserve"> machines split the pallet loads into separate cases</w:t>
      </w:r>
      <w:r w:rsidR="00AA7244">
        <w:rPr>
          <w:lang w:val="en-GB"/>
        </w:rPr>
        <w:t>,</w:t>
      </w:r>
      <w:r>
        <w:rPr>
          <w:lang w:val="en-GB"/>
        </w:rPr>
        <w:t xml:space="preserve"> </w:t>
      </w:r>
      <w:r w:rsidR="00605405">
        <w:rPr>
          <w:lang w:val="en-GB"/>
        </w:rPr>
        <w:t xml:space="preserve">which are </w:t>
      </w:r>
      <w:r w:rsidR="00D046B7">
        <w:rPr>
          <w:lang w:val="en-GB"/>
        </w:rPr>
        <w:t xml:space="preserve">then </w:t>
      </w:r>
      <w:r>
        <w:rPr>
          <w:lang w:val="en-GB"/>
        </w:rPr>
        <w:t xml:space="preserve">stored by the Stingray Shuttles in 40,000 storage locations at rates </w:t>
      </w:r>
      <w:r w:rsidR="00605405">
        <w:rPr>
          <w:lang w:val="en-GB"/>
        </w:rPr>
        <w:t xml:space="preserve">of </w:t>
      </w:r>
      <w:r>
        <w:rPr>
          <w:lang w:val="en-GB"/>
        </w:rPr>
        <w:t xml:space="preserve">up to 4,500 cartons per hour. When called for by orders, the shuttles retrieve the required products and deliver them to conveyors </w:t>
      </w:r>
      <w:r w:rsidR="00D046B7">
        <w:rPr>
          <w:lang w:val="en-GB"/>
        </w:rPr>
        <w:t>that</w:t>
      </w:r>
      <w:r>
        <w:rPr>
          <w:lang w:val="en-GB"/>
        </w:rPr>
        <w:t xml:space="preserve"> </w:t>
      </w:r>
      <w:r w:rsidR="00D046B7">
        <w:rPr>
          <w:lang w:val="en-GB"/>
        </w:rPr>
        <w:t xml:space="preserve">then </w:t>
      </w:r>
      <w:r>
        <w:rPr>
          <w:lang w:val="en-GB"/>
        </w:rPr>
        <w:t xml:space="preserve">transport them to fully automated </w:t>
      </w:r>
      <w:r w:rsidR="00992E31" w:rsidRPr="009B79A8">
        <w:rPr>
          <w:lang w:val="en-GB"/>
        </w:rPr>
        <w:t xml:space="preserve">TGW </w:t>
      </w:r>
      <w:proofErr w:type="spellStart"/>
      <w:r w:rsidR="00992E31" w:rsidRPr="009B79A8">
        <w:rPr>
          <w:lang w:val="en-GB"/>
        </w:rPr>
        <w:t>Autostax</w:t>
      </w:r>
      <w:proofErr w:type="spellEnd"/>
      <w:r w:rsidR="00992E31" w:rsidRPr="009B79A8">
        <w:rPr>
          <w:lang w:val="en-GB"/>
        </w:rPr>
        <w:t xml:space="preserve"> palletising stations</w:t>
      </w:r>
      <w:r>
        <w:rPr>
          <w:lang w:val="en-GB"/>
        </w:rPr>
        <w:t xml:space="preserve">. There, </w:t>
      </w:r>
      <w:r w:rsidR="00992E31" w:rsidRPr="009B79A8">
        <w:rPr>
          <w:lang w:val="en-GB"/>
        </w:rPr>
        <w:t xml:space="preserve">volume-optimised and store-friendly </w:t>
      </w:r>
      <w:r>
        <w:rPr>
          <w:lang w:val="en-GB"/>
        </w:rPr>
        <w:t xml:space="preserve">pallet loads are built </w:t>
      </w:r>
      <w:r w:rsidR="00992E31" w:rsidRPr="009B79A8">
        <w:rPr>
          <w:lang w:val="en-GB"/>
        </w:rPr>
        <w:t xml:space="preserve">according to </w:t>
      </w:r>
      <w:r>
        <w:rPr>
          <w:lang w:val="en-GB"/>
        </w:rPr>
        <w:t xml:space="preserve">pre-defined </w:t>
      </w:r>
      <w:r w:rsidR="00992E31" w:rsidRPr="009B79A8">
        <w:rPr>
          <w:lang w:val="en-GB"/>
        </w:rPr>
        <w:t xml:space="preserve">packing patterns. </w:t>
      </w:r>
    </w:p>
    <w:p w:rsidR="00992E31" w:rsidRPr="009B79A8" w:rsidRDefault="00F57EB7" w:rsidP="001B3E4D">
      <w:pPr>
        <w:spacing w:before="120" w:after="240"/>
        <w:ind w:right="1837"/>
        <w:rPr>
          <w:lang w:val="en-GB"/>
        </w:rPr>
      </w:pPr>
      <w:r>
        <w:rPr>
          <w:lang w:val="en-GB"/>
        </w:rPr>
        <w:t>By switching over to a fully automated system, not only does Coop maintain the highest quality frozen food chain handling system</w:t>
      </w:r>
      <w:r w:rsidR="00D046B7">
        <w:rPr>
          <w:lang w:val="en-GB"/>
        </w:rPr>
        <w:t xml:space="preserve"> at the lowest total operating cost</w:t>
      </w:r>
      <w:r>
        <w:rPr>
          <w:lang w:val="en-GB"/>
        </w:rPr>
        <w:t xml:space="preserve">, but </w:t>
      </w:r>
      <w:r w:rsidR="00D046B7">
        <w:rPr>
          <w:lang w:val="en-GB"/>
        </w:rPr>
        <w:t xml:space="preserve">the company </w:t>
      </w:r>
      <w:r>
        <w:rPr>
          <w:lang w:val="en-GB"/>
        </w:rPr>
        <w:t xml:space="preserve">has also </w:t>
      </w:r>
      <w:r w:rsidR="00D046B7">
        <w:rPr>
          <w:lang w:val="en-GB"/>
        </w:rPr>
        <w:t>minimized</w:t>
      </w:r>
      <w:r>
        <w:rPr>
          <w:lang w:val="en-GB"/>
        </w:rPr>
        <w:t xml:space="preserve"> its ecological footprint, adds Schedlbauer.</w:t>
      </w:r>
      <w:r w:rsidR="0022263C" w:rsidRPr="009B79A8">
        <w:rPr>
          <w:lang w:val="en-GB"/>
        </w:rPr>
        <w:t xml:space="preserve"> "</w:t>
      </w:r>
      <w:r>
        <w:rPr>
          <w:lang w:val="en-GB"/>
        </w:rPr>
        <w:t xml:space="preserve">Coop’s </w:t>
      </w:r>
      <w:proofErr w:type="spellStart"/>
      <w:r w:rsidR="0022263C" w:rsidRPr="009B79A8">
        <w:rPr>
          <w:lang w:val="en-GB"/>
        </w:rPr>
        <w:t>Schafisheim</w:t>
      </w:r>
      <w:proofErr w:type="spellEnd"/>
      <w:r>
        <w:rPr>
          <w:lang w:val="en-GB"/>
        </w:rPr>
        <w:t xml:space="preserve"> logistics </w:t>
      </w:r>
      <w:proofErr w:type="spellStart"/>
      <w:r>
        <w:rPr>
          <w:lang w:val="en-GB"/>
        </w:rPr>
        <w:t>center</w:t>
      </w:r>
      <w:proofErr w:type="spellEnd"/>
      <w:r>
        <w:rPr>
          <w:lang w:val="en-GB"/>
        </w:rPr>
        <w:t xml:space="preserve"> has reduced its carbon dioxide emissions by </w:t>
      </w:r>
      <w:r w:rsidR="0022263C" w:rsidRPr="009B79A8">
        <w:rPr>
          <w:lang w:val="en-GB"/>
        </w:rPr>
        <w:t>10,000 tons per year</w:t>
      </w:r>
      <w:r>
        <w:rPr>
          <w:lang w:val="en-GB"/>
        </w:rPr>
        <w:t xml:space="preserve"> by implementing </w:t>
      </w:r>
      <w:r w:rsidR="00B674F4">
        <w:rPr>
          <w:lang w:val="en-GB"/>
        </w:rPr>
        <w:t>TGW technology.</w:t>
      </w:r>
      <w:r>
        <w:rPr>
          <w:lang w:val="en-GB"/>
        </w:rPr>
        <w:t>”</w:t>
      </w:r>
    </w:p>
    <w:p w:rsidR="004C1432" w:rsidRPr="009B79A8" w:rsidRDefault="004C1432" w:rsidP="004C1432">
      <w:pPr>
        <w:spacing w:before="240" w:after="120"/>
        <w:ind w:right="1837"/>
        <w:rPr>
          <w:b/>
          <w:lang w:val="en-GB"/>
        </w:rPr>
      </w:pPr>
      <w:r w:rsidRPr="009B79A8">
        <w:rPr>
          <w:b/>
          <w:lang w:val="en-GB"/>
        </w:rPr>
        <w:lastRenderedPageBreak/>
        <w:t>About TGW Logistics Group:</w:t>
      </w:r>
    </w:p>
    <w:p w:rsidR="004C1432" w:rsidRPr="009B79A8" w:rsidRDefault="004C1432" w:rsidP="004C1432">
      <w:pPr>
        <w:spacing w:before="240" w:after="120"/>
        <w:ind w:right="1837"/>
        <w:rPr>
          <w:lang w:val="en-GB"/>
        </w:rPr>
      </w:pPr>
      <w:r w:rsidRPr="009B79A8">
        <w:rPr>
          <w:lang w:val="en-GB"/>
        </w:rPr>
        <w:t>TGW Logistics Group is a global leading systems provider of hig</w:t>
      </w:r>
      <w:r w:rsidR="000D35B8">
        <w:rPr>
          <w:lang w:val="en-GB"/>
        </w:rPr>
        <w:t>hly dynamic, automated and turn</w:t>
      </w:r>
      <w:r w:rsidRPr="009B79A8">
        <w:rPr>
          <w:lang w:val="en-GB"/>
        </w:rPr>
        <w:t xml:space="preserve">key logistics solutions. Since 1969 the company has been implementing different internal logistics solutions, from small material handling applications to complex logistics centres. </w:t>
      </w:r>
    </w:p>
    <w:p w:rsidR="000D35B8" w:rsidRPr="000242E4" w:rsidRDefault="004C1432" w:rsidP="000D35B8">
      <w:pPr>
        <w:spacing w:before="240" w:after="120"/>
        <w:ind w:right="1837"/>
        <w:rPr>
          <w:lang w:val="en-GB"/>
        </w:rPr>
      </w:pPr>
      <w:r w:rsidRPr="009B79A8">
        <w:rPr>
          <w:lang w:val="en-GB"/>
        </w:rPr>
        <w:t xml:space="preserve">With about 2,600 employees worldwide by now, the Group implements logistics solutions for leading companies in various industries. In the business year 2015/16, the TGW Logistics Group generated sales revenues </w:t>
      </w:r>
      <w:r w:rsidR="000D35B8" w:rsidRPr="000242E4">
        <w:rPr>
          <w:lang w:val="en-GB"/>
        </w:rPr>
        <w:t xml:space="preserve">of </w:t>
      </w:r>
      <w:r w:rsidR="000D35B8">
        <w:rPr>
          <w:lang w:val="en-GB"/>
        </w:rPr>
        <w:t>$563.5 million (</w:t>
      </w:r>
      <w:r w:rsidR="000D35B8" w:rsidRPr="00C408B0">
        <w:rPr>
          <w:lang w:val="en-GB"/>
        </w:rPr>
        <w:t>532 million Euros</w:t>
      </w:r>
      <w:r w:rsidR="000D35B8">
        <w:rPr>
          <w:lang w:val="en-GB"/>
        </w:rPr>
        <w:t>)</w:t>
      </w:r>
      <w:r w:rsidR="000D35B8" w:rsidRPr="0053357B">
        <w:rPr>
          <w:lang w:val="en-GB"/>
        </w:rPr>
        <w:t>.</w:t>
      </w:r>
    </w:p>
    <w:p w:rsidR="004C1432" w:rsidRPr="009B79A8" w:rsidRDefault="004C1432" w:rsidP="004C1432">
      <w:pPr>
        <w:spacing w:before="240" w:after="120"/>
        <w:ind w:right="1837"/>
        <w:rPr>
          <w:lang w:val="en-GB"/>
        </w:rPr>
      </w:pPr>
    </w:p>
    <w:p w:rsidR="004C1432" w:rsidRPr="009B79A8" w:rsidRDefault="004C1432" w:rsidP="004C1432">
      <w:pPr>
        <w:spacing w:before="240" w:after="120"/>
        <w:ind w:right="1837"/>
        <w:rPr>
          <w:b/>
          <w:lang w:val="en-GB"/>
        </w:rPr>
      </w:pPr>
      <w:r w:rsidRPr="009B79A8">
        <w:rPr>
          <w:b/>
          <w:lang w:val="en-GB"/>
        </w:rPr>
        <w:t>Pictures:</w:t>
      </w:r>
    </w:p>
    <w:p w:rsidR="004C1432" w:rsidRPr="009B79A8" w:rsidRDefault="004C1432" w:rsidP="004C1432">
      <w:pPr>
        <w:spacing w:before="240" w:after="120"/>
        <w:ind w:right="1837"/>
        <w:rPr>
          <w:lang w:val="en-GB"/>
        </w:rPr>
      </w:pPr>
      <w:r w:rsidRPr="009B79A8">
        <w:rPr>
          <w:lang w:val="en-GB"/>
        </w:rPr>
        <w:t>Reprint with reference to TGW Logistics Group GmbH free of charge. Reprint is not permitted for promotional purposes.</w:t>
      </w:r>
    </w:p>
    <w:p w:rsidR="004C1432" w:rsidRPr="009B79A8" w:rsidRDefault="004C1432" w:rsidP="004C1432">
      <w:pPr>
        <w:spacing w:before="240" w:after="120"/>
        <w:ind w:right="1837"/>
        <w:rPr>
          <w:lang w:val="en-GB"/>
        </w:rPr>
      </w:pPr>
    </w:p>
    <w:p w:rsidR="004C1432" w:rsidRPr="009B79A8" w:rsidRDefault="004C1432" w:rsidP="004C1432">
      <w:pPr>
        <w:spacing w:line="240" w:lineRule="auto"/>
        <w:ind w:right="1837"/>
        <w:rPr>
          <w:b/>
          <w:lang w:val="en-GB"/>
        </w:rPr>
      </w:pPr>
      <w:r w:rsidRPr="009B79A8">
        <w:rPr>
          <w:b/>
          <w:lang w:val="en-GB"/>
        </w:rPr>
        <w:t>Contact:</w:t>
      </w:r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Andy Lockhart</w:t>
      </w:r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lang w:val="en-US"/>
        </w:rPr>
        <w:t>Vice President Sales, Integrated Systems</w:t>
      </w:r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TGW Systems, Inc.</w:t>
      </w:r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en-US"/>
        </w:rPr>
      </w:pPr>
      <w:r w:rsidRPr="00AA7244">
        <w:rPr>
          <w:rFonts w:cs="Arial"/>
          <w:szCs w:val="20"/>
          <w:lang w:val="en-US"/>
        </w:rPr>
        <w:t>3001 Orchard Vista Drive SE, Suite 300</w:t>
      </w:r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Grand Rapids, MI 49546</w:t>
      </w:r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T: 231.798.4547</w:t>
      </w:r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 xml:space="preserve">E-mail: </w:t>
      </w:r>
      <w:hyperlink r:id="rId9" w:history="1">
        <w:r w:rsidRPr="00AA7244">
          <w:rPr>
            <w:rStyle w:val="Hyperlink"/>
            <w:rFonts w:cs="Arial"/>
            <w:szCs w:val="20"/>
            <w:lang w:val="fr-FR"/>
          </w:rPr>
          <w:t>andy.lockhart@tgw-group.com</w:t>
        </w:r>
      </w:hyperlink>
    </w:p>
    <w:p w:rsidR="000D35B8" w:rsidRPr="00AA7244" w:rsidRDefault="000D35B8" w:rsidP="000D35B8">
      <w:pPr>
        <w:spacing w:line="240" w:lineRule="auto"/>
        <w:ind w:right="418"/>
        <w:rPr>
          <w:rFonts w:cs="Arial"/>
          <w:szCs w:val="20"/>
          <w:lang w:val="fr-FR"/>
        </w:rPr>
      </w:pPr>
      <w:r w:rsidRPr="00AA7244">
        <w:rPr>
          <w:rFonts w:cs="Arial"/>
          <w:szCs w:val="20"/>
          <w:lang w:val="fr-FR"/>
        </w:rPr>
        <w:t>E-mail: usinfo@tgw-group.com</w:t>
      </w:r>
    </w:p>
    <w:p w:rsidR="004C1432" w:rsidRPr="00AA7244" w:rsidRDefault="004C1432" w:rsidP="004C1432">
      <w:pPr>
        <w:spacing w:line="240" w:lineRule="auto"/>
        <w:ind w:right="1837"/>
        <w:rPr>
          <w:lang w:val="fr-FR"/>
        </w:rPr>
      </w:pPr>
    </w:p>
    <w:p w:rsidR="004C1432" w:rsidRPr="00AA7244" w:rsidRDefault="004C1432" w:rsidP="004C1432">
      <w:pPr>
        <w:spacing w:line="240" w:lineRule="auto"/>
        <w:ind w:right="701"/>
        <w:rPr>
          <w:b/>
          <w:lang w:val="fr-FR"/>
        </w:rPr>
      </w:pPr>
      <w:proofErr w:type="spellStart"/>
      <w:r w:rsidRPr="00AA7244">
        <w:rPr>
          <w:b/>
          <w:lang w:val="fr-FR"/>
        </w:rPr>
        <w:t>Press</w:t>
      </w:r>
      <w:proofErr w:type="spellEnd"/>
      <w:r w:rsidRPr="00AA7244">
        <w:rPr>
          <w:b/>
          <w:lang w:val="fr-FR"/>
        </w:rPr>
        <w:t xml:space="preserve"> contact:</w:t>
      </w:r>
    </w:p>
    <w:p w:rsidR="004C1432" w:rsidRPr="009B79A8" w:rsidRDefault="000D35B8" w:rsidP="004C1432">
      <w:pPr>
        <w:spacing w:line="240" w:lineRule="auto"/>
        <w:ind w:right="701"/>
        <w:rPr>
          <w:lang w:val="en-GB"/>
        </w:rPr>
      </w:pPr>
      <w:r>
        <w:rPr>
          <w:lang w:val="en-GB"/>
        </w:rPr>
        <w:t>Martin Kirchmayr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4C1432" w:rsidRPr="009B79A8">
        <w:rPr>
          <w:lang w:val="en-GB"/>
        </w:rPr>
        <w:t>Daniela Nowak</w:t>
      </w:r>
    </w:p>
    <w:p w:rsidR="004C1432" w:rsidRPr="009B79A8" w:rsidRDefault="004C1432" w:rsidP="004C1432">
      <w:pPr>
        <w:spacing w:line="240" w:lineRule="auto"/>
        <w:ind w:right="701"/>
        <w:rPr>
          <w:lang w:val="en-GB"/>
        </w:rPr>
      </w:pPr>
      <w:r w:rsidRPr="009B79A8">
        <w:rPr>
          <w:lang w:val="en-GB"/>
        </w:rPr>
        <w:t>Marketing &amp; Communication Manager</w:t>
      </w:r>
      <w:r w:rsidRPr="009B79A8">
        <w:rPr>
          <w:lang w:val="en-GB"/>
        </w:rPr>
        <w:tab/>
        <w:t xml:space="preserve">    </w:t>
      </w:r>
      <w:r w:rsidRPr="009B79A8">
        <w:rPr>
          <w:lang w:val="en-GB"/>
        </w:rPr>
        <w:tab/>
        <w:t>Marketing &amp; Communication Specialist</w:t>
      </w:r>
    </w:p>
    <w:p w:rsidR="004C1432" w:rsidRPr="009B79A8" w:rsidRDefault="004C1432" w:rsidP="004C1432">
      <w:pPr>
        <w:spacing w:line="240" w:lineRule="auto"/>
        <w:ind w:right="701"/>
        <w:rPr>
          <w:lang w:val="en-GB"/>
        </w:rPr>
      </w:pPr>
      <w:r w:rsidRPr="009B79A8">
        <w:rPr>
          <w:lang w:val="en-GB"/>
        </w:rPr>
        <w:t>T: +43.7242.486-1382</w:t>
      </w:r>
      <w:r w:rsidRPr="009B79A8">
        <w:rPr>
          <w:lang w:val="en-GB"/>
        </w:rPr>
        <w:tab/>
      </w:r>
      <w:r w:rsidRPr="009B79A8">
        <w:rPr>
          <w:lang w:val="en-GB"/>
        </w:rPr>
        <w:tab/>
      </w:r>
      <w:r w:rsidR="000D35B8">
        <w:rPr>
          <w:lang w:val="en-GB"/>
        </w:rPr>
        <w:tab/>
      </w:r>
      <w:r w:rsidRPr="009B79A8">
        <w:rPr>
          <w:lang w:val="en-GB"/>
        </w:rPr>
        <w:tab/>
        <w:t>T: +43.7242.486-1059</w:t>
      </w:r>
    </w:p>
    <w:p w:rsidR="004C1432" w:rsidRPr="009B79A8" w:rsidRDefault="004C1432" w:rsidP="004C1432">
      <w:pPr>
        <w:spacing w:line="240" w:lineRule="auto"/>
        <w:ind w:right="701"/>
        <w:rPr>
          <w:lang w:val="en-GB"/>
        </w:rPr>
      </w:pPr>
      <w:r w:rsidRPr="009B79A8">
        <w:rPr>
          <w:lang w:val="en-GB"/>
        </w:rPr>
        <w:t>M: +43.664.8187423</w:t>
      </w:r>
    </w:p>
    <w:p w:rsidR="004C1432" w:rsidRPr="009B79A8" w:rsidRDefault="004C1432" w:rsidP="004C1432">
      <w:pPr>
        <w:spacing w:line="240" w:lineRule="auto"/>
        <w:ind w:right="701"/>
        <w:rPr>
          <w:lang w:val="en-GB"/>
        </w:rPr>
      </w:pPr>
      <w:proofErr w:type="gramStart"/>
      <w:r w:rsidRPr="009B79A8">
        <w:rPr>
          <w:lang w:val="en-GB"/>
        </w:rPr>
        <w:t>martin.kirchmayr@tgw</w:t>
      </w:r>
      <w:proofErr w:type="gramEnd"/>
      <w:r w:rsidRPr="009B79A8">
        <w:rPr>
          <w:lang w:val="en-GB"/>
        </w:rPr>
        <w:t>-group.com</w:t>
      </w:r>
      <w:r w:rsidRPr="009B79A8">
        <w:rPr>
          <w:lang w:val="en-GB"/>
        </w:rPr>
        <w:tab/>
      </w:r>
      <w:r w:rsidRPr="009B79A8">
        <w:rPr>
          <w:lang w:val="en-GB"/>
        </w:rPr>
        <w:tab/>
        <w:t>daniela.nowak@tgw-group.com</w:t>
      </w:r>
    </w:p>
    <w:p w:rsidR="004C1432" w:rsidRPr="009B79A8" w:rsidRDefault="004C1432" w:rsidP="001B3E4D">
      <w:pPr>
        <w:spacing w:before="120" w:after="240"/>
        <w:ind w:right="1837"/>
        <w:rPr>
          <w:lang w:val="en-GB"/>
        </w:rPr>
      </w:pPr>
    </w:p>
    <w:sectPr w:rsidR="004C1432" w:rsidRPr="009B79A8" w:rsidSect="00193DF6">
      <w:headerReference w:type="default" r:id="rId10"/>
      <w:footerReference w:type="default" r:id="rId11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ED0F01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F1E" w:rsidRDefault="00A46F1E" w:rsidP="00764006">
      <w:pPr>
        <w:spacing w:line="240" w:lineRule="auto"/>
      </w:pPr>
      <w:r>
        <w:separator/>
      </w:r>
    </w:p>
  </w:endnote>
  <w:endnote w:type="continuationSeparator" w:id="0">
    <w:p w:rsidR="00A46F1E" w:rsidRDefault="00A46F1E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4D6CC4" w:rsidRPr="00252CD7" w:rsidTr="00C15D91">
      <w:tc>
        <w:tcPr>
          <w:tcW w:w="6474" w:type="dxa"/>
        </w:tcPr>
        <w:p w:rsidR="004D6CC4" w:rsidRPr="00252CD7" w:rsidRDefault="004D6CC4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 xml:space="preserve">TGW </w:t>
          </w:r>
          <w:proofErr w:type="spellStart"/>
          <w:r>
            <w:rPr>
              <w:sz w:val="16"/>
            </w:rPr>
            <w:t>Logistics</w:t>
          </w:r>
          <w:proofErr w:type="spellEnd"/>
          <w:r>
            <w:rPr>
              <w:sz w:val="16"/>
            </w:rPr>
            <w:t xml:space="preserve">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4D6CC4" w:rsidRPr="00252CD7" w:rsidRDefault="004D6CC4" w:rsidP="007D0E42">
          <w:pPr>
            <w:pStyle w:val="Footer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4D6CC4" w:rsidRPr="00252CD7" w:rsidRDefault="004D6CC4" w:rsidP="007D0E42">
          <w:pPr>
            <w:pStyle w:val="Footer"/>
            <w:rPr>
              <w:sz w:val="16"/>
            </w:rPr>
          </w:pPr>
        </w:p>
      </w:tc>
      <w:tc>
        <w:tcPr>
          <w:tcW w:w="2438" w:type="dxa"/>
          <w:vAlign w:val="center"/>
        </w:tcPr>
        <w:p w:rsidR="004D6CC4" w:rsidRPr="00252CD7" w:rsidRDefault="00A46F1E" w:rsidP="00252CD7">
          <w:pPr>
            <w:pStyle w:val="FuzeileFirmendaten"/>
            <w:rPr>
              <w:sz w:val="16"/>
            </w:rPr>
          </w:pPr>
          <w:fldSimple w:instr=" NUMPAGES   \* MERGEFORMAT ">
            <w:r w:rsidR="00AA7244" w:rsidRPr="00AA7244">
              <w:rPr>
                <w:noProof/>
                <w:sz w:val="16"/>
              </w:rPr>
              <w:t>3</w:t>
            </w:r>
          </w:fldSimple>
          <w:r w:rsidR="004D6CC4">
            <w:rPr>
              <w:sz w:val="16"/>
            </w:rPr>
            <w:t xml:space="preserve"> / </w:t>
          </w:r>
        </w:p>
      </w:tc>
    </w:tr>
  </w:tbl>
  <w:p w:rsidR="004D6CC4" w:rsidRDefault="004D6CC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F1E" w:rsidRDefault="00A46F1E" w:rsidP="00764006">
      <w:pPr>
        <w:spacing w:line="240" w:lineRule="auto"/>
      </w:pPr>
      <w:r>
        <w:separator/>
      </w:r>
    </w:p>
  </w:footnote>
  <w:footnote w:type="continuationSeparator" w:id="0">
    <w:p w:rsidR="00A46F1E" w:rsidRDefault="00A46F1E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CC4" w:rsidRDefault="004D6CC4" w:rsidP="00764006">
    <w:pPr>
      <w:pStyle w:val="Header"/>
      <w:jc w:val="right"/>
    </w:pPr>
    <w:r>
      <w:br/>
    </w:r>
  </w:p>
  <w:p w:rsidR="004D6CC4" w:rsidRPr="00C15D91" w:rsidRDefault="004D6CC4" w:rsidP="00C00CC7">
    <w:pPr>
      <w:pStyle w:val="Dokumententitel"/>
    </w:pPr>
    <w:r>
      <w:rPr>
        <w:lang w:val="en-US" w:eastAsia="en-US"/>
      </w:rPr>
      <w:drawing>
        <wp:anchor distT="0" distB="0" distL="114300" distR="114300" simplePos="0" relativeHeight="251658240" behindDoc="0" locked="0" layoutInCell="1" allowOverlap="1" wp14:anchorId="6179A756" wp14:editId="131581B6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 Information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44C"/>
    <w:multiLevelType w:val="hybridMultilevel"/>
    <w:tmpl w:val="84645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irchmayr Martin">
    <w15:presenceInfo w15:providerId="AD" w15:userId="S-1-5-21-2559878301-2761995165-1220816646-254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006"/>
    <w:rsid w:val="000155F8"/>
    <w:rsid w:val="000303FD"/>
    <w:rsid w:val="000448F0"/>
    <w:rsid w:val="0006348C"/>
    <w:rsid w:val="00064DC5"/>
    <w:rsid w:val="0006732E"/>
    <w:rsid w:val="000A0230"/>
    <w:rsid w:val="000A490F"/>
    <w:rsid w:val="000C3C11"/>
    <w:rsid w:val="000D35B8"/>
    <w:rsid w:val="000E286C"/>
    <w:rsid w:val="000F7C7A"/>
    <w:rsid w:val="000F7D85"/>
    <w:rsid w:val="00100379"/>
    <w:rsid w:val="00102B91"/>
    <w:rsid w:val="00125EC7"/>
    <w:rsid w:val="00152BD4"/>
    <w:rsid w:val="0017018E"/>
    <w:rsid w:val="001708E2"/>
    <w:rsid w:val="00181531"/>
    <w:rsid w:val="00183096"/>
    <w:rsid w:val="00193DF6"/>
    <w:rsid w:val="001A6670"/>
    <w:rsid w:val="001B3E4D"/>
    <w:rsid w:val="001C2FB5"/>
    <w:rsid w:val="001E7058"/>
    <w:rsid w:val="001F5208"/>
    <w:rsid w:val="001F70A5"/>
    <w:rsid w:val="0022263C"/>
    <w:rsid w:val="00222B47"/>
    <w:rsid w:val="00252CD7"/>
    <w:rsid w:val="0025635E"/>
    <w:rsid w:val="0026487A"/>
    <w:rsid w:val="00271F96"/>
    <w:rsid w:val="00277AF6"/>
    <w:rsid w:val="00292EE3"/>
    <w:rsid w:val="002A0083"/>
    <w:rsid w:val="002B70FC"/>
    <w:rsid w:val="002C3AE4"/>
    <w:rsid w:val="002C75A1"/>
    <w:rsid w:val="002E621E"/>
    <w:rsid w:val="00307422"/>
    <w:rsid w:val="00315460"/>
    <w:rsid w:val="00356DAA"/>
    <w:rsid w:val="003572A1"/>
    <w:rsid w:val="00393552"/>
    <w:rsid w:val="003A0064"/>
    <w:rsid w:val="003A2448"/>
    <w:rsid w:val="003A5294"/>
    <w:rsid w:val="003B0DEC"/>
    <w:rsid w:val="003B6B43"/>
    <w:rsid w:val="003E39D6"/>
    <w:rsid w:val="004504BF"/>
    <w:rsid w:val="00450B34"/>
    <w:rsid w:val="00452B1B"/>
    <w:rsid w:val="00454D03"/>
    <w:rsid w:val="00460E17"/>
    <w:rsid w:val="004700C3"/>
    <w:rsid w:val="00470B0F"/>
    <w:rsid w:val="004723D9"/>
    <w:rsid w:val="004B32AF"/>
    <w:rsid w:val="004C1432"/>
    <w:rsid w:val="004D6CC4"/>
    <w:rsid w:val="004D7BB5"/>
    <w:rsid w:val="004F72B7"/>
    <w:rsid w:val="005219FF"/>
    <w:rsid w:val="005278C0"/>
    <w:rsid w:val="00532EC1"/>
    <w:rsid w:val="0054039D"/>
    <w:rsid w:val="00552AF7"/>
    <w:rsid w:val="00561079"/>
    <w:rsid w:val="00587E73"/>
    <w:rsid w:val="005A79BA"/>
    <w:rsid w:val="005B517D"/>
    <w:rsid w:val="005C1621"/>
    <w:rsid w:val="00600225"/>
    <w:rsid w:val="0060432C"/>
    <w:rsid w:val="00605405"/>
    <w:rsid w:val="006118EE"/>
    <w:rsid w:val="006157D6"/>
    <w:rsid w:val="006225BA"/>
    <w:rsid w:val="00624B52"/>
    <w:rsid w:val="00625B24"/>
    <w:rsid w:val="00636E6E"/>
    <w:rsid w:val="0067046F"/>
    <w:rsid w:val="006C7F31"/>
    <w:rsid w:val="006E786A"/>
    <w:rsid w:val="00714973"/>
    <w:rsid w:val="007255D5"/>
    <w:rsid w:val="00735B00"/>
    <w:rsid w:val="007502BB"/>
    <w:rsid w:val="00764006"/>
    <w:rsid w:val="0079196A"/>
    <w:rsid w:val="00791EC3"/>
    <w:rsid w:val="0079683C"/>
    <w:rsid w:val="007B5207"/>
    <w:rsid w:val="007D0E42"/>
    <w:rsid w:val="007E33BD"/>
    <w:rsid w:val="007F47DB"/>
    <w:rsid w:val="008342EA"/>
    <w:rsid w:val="008439CD"/>
    <w:rsid w:val="00865F37"/>
    <w:rsid w:val="00880D92"/>
    <w:rsid w:val="008C2085"/>
    <w:rsid w:val="008C62E5"/>
    <w:rsid w:val="008E1BFC"/>
    <w:rsid w:val="00900F4D"/>
    <w:rsid w:val="00911110"/>
    <w:rsid w:val="009262ED"/>
    <w:rsid w:val="00930970"/>
    <w:rsid w:val="00953D37"/>
    <w:rsid w:val="009652D8"/>
    <w:rsid w:val="00965826"/>
    <w:rsid w:val="00983B50"/>
    <w:rsid w:val="009860EB"/>
    <w:rsid w:val="00992E31"/>
    <w:rsid w:val="0099409F"/>
    <w:rsid w:val="00996B03"/>
    <w:rsid w:val="009A35C6"/>
    <w:rsid w:val="009B79A8"/>
    <w:rsid w:val="009D14C2"/>
    <w:rsid w:val="009F7BA4"/>
    <w:rsid w:val="00A06152"/>
    <w:rsid w:val="00A06F83"/>
    <w:rsid w:val="00A10D9F"/>
    <w:rsid w:val="00A25CF4"/>
    <w:rsid w:val="00A30303"/>
    <w:rsid w:val="00A34681"/>
    <w:rsid w:val="00A41121"/>
    <w:rsid w:val="00A46F1E"/>
    <w:rsid w:val="00A526D6"/>
    <w:rsid w:val="00A52A37"/>
    <w:rsid w:val="00A65137"/>
    <w:rsid w:val="00A750FB"/>
    <w:rsid w:val="00A81890"/>
    <w:rsid w:val="00AA7244"/>
    <w:rsid w:val="00AC2F90"/>
    <w:rsid w:val="00AD3796"/>
    <w:rsid w:val="00B03B65"/>
    <w:rsid w:val="00B10DA6"/>
    <w:rsid w:val="00B365DD"/>
    <w:rsid w:val="00B422A2"/>
    <w:rsid w:val="00B446B3"/>
    <w:rsid w:val="00B5267B"/>
    <w:rsid w:val="00B56A9C"/>
    <w:rsid w:val="00B57085"/>
    <w:rsid w:val="00B57511"/>
    <w:rsid w:val="00B63D2F"/>
    <w:rsid w:val="00B674F4"/>
    <w:rsid w:val="00B80C77"/>
    <w:rsid w:val="00B81268"/>
    <w:rsid w:val="00BD5A2A"/>
    <w:rsid w:val="00BF05C4"/>
    <w:rsid w:val="00C001F7"/>
    <w:rsid w:val="00C00CC7"/>
    <w:rsid w:val="00C15D91"/>
    <w:rsid w:val="00C36CA3"/>
    <w:rsid w:val="00C4134D"/>
    <w:rsid w:val="00CA034C"/>
    <w:rsid w:val="00CA3747"/>
    <w:rsid w:val="00CB569D"/>
    <w:rsid w:val="00CC55C1"/>
    <w:rsid w:val="00D01B62"/>
    <w:rsid w:val="00D03E62"/>
    <w:rsid w:val="00D046B7"/>
    <w:rsid w:val="00D138CF"/>
    <w:rsid w:val="00D17FF2"/>
    <w:rsid w:val="00D37502"/>
    <w:rsid w:val="00D55EDC"/>
    <w:rsid w:val="00D619B3"/>
    <w:rsid w:val="00D65D40"/>
    <w:rsid w:val="00D70202"/>
    <w:rsid w:val="00D8757B"/>
    <w:rsid w:val="00D90DAC"/>
    <w:rsid w:val="00DA5B1B"/>
    <w:rsid w:val="00DA6B7F"/>
    <w:rsid w:val="00DB5875"/>
    <w:rsid w:val="00DD2CB5"/>
    <w:rsid w:val="00DD417D"/>
    <w:rsid w:val="00DD7D1E"/>
    <w:rsid w:val="00DE36AF"/>
    <w:rsid w:val="00E131CE"/>
    <w:rsid w:val="00E21CBA"/>
    <w:rsid w:val="00E21D57"/>
    <w:rsid w:val="00E264FE"/>
    <w:rsid w:val="00E465CD"/>
    <w:rsid w:val="00E5322C"/>
    <w:rsid w:val="00E55CEF"/>
    <w:rsid w:val="00E77A32"/>
    <w:rsid w:val="00EA50A1"/>
    <w:rsid w:val="00EC3B7D"/>
    <w:rsid w:val="00ED3142"/>
    <w:rsid w:val="00ED707A"/>
    <w:rsid w:val="00EE4F38"/>
    <w:rsid w:val="00F16BF1"/>
    <w:rsid w:val="00F20583"/>
    <w:rsid w:val="00F4497A"/>
    <w:rsid w:val="00F57EB7"/>
    <w:rsid w:val="00F60437"/>
    <w:rsid w:val="00F609CC"/>
    <w:rsid w:val="00F6247B"/>
    <w:rsid w:val="00FA5EB3"/>
    <w:rsid w:val="00FE00F8"/>
    <w:rsid w:val="00FE2E8B"/>
    <w:rsid w:val="00FE44D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Emphasis">
    <w:name w:val="Emphasis"/>
    <w:basedOn w:val="DefaultParagraphFont"/>
    <w:uiPriority w:val="20"/>
    <w:qFormat/>
    <w:rsid w:val="00552AF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6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00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4006"/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7D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uzeileAdresse">
    <w:name w:val="Fußzeile_Adresse"/>
    <w:basedOn w:val="Footer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DefaultParagraphFon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ooterChar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ooter"/>
    <w:link w:val="FuzeileFirmendatenZchn"/>
    <w:qFormat/>
    <w:rsid w:val="00C15D91"/>
  </w:style>
  <w:style w:type="paragraph" w:styleId="BalloonText">
    <w:name w:val="Balloon Text"/>
    <w:basedOn w:val="Normal"/>
    <w:link w:val="BalloonTextChar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ooterChar"/>
    <w:link w:val="FuzeileFirmendaten"/>
    <w:rsid w:val="00C15D91"/>
    <w:rPr>
      <w:rFonts w:ascii="Arial" w:hAnsi="Aria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Normal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DefaultParagraphFon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Normal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DefaultParagraphFont"/>
    <w:link w:val="Adresse"/>
    <w:rsid w:val="00B56A9C"/>
    <w:rPr>
      <w:rFonts w:ascii="Arial" w:hAnsi="Arial"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Paragraph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Paragraph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ParagraphChar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ParagraphChar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Header"/>
    <w:link w:val="DokumententitelZchn"/>
    <w:qFormat/>
    <w:rsid w:val="00C00CC7"/>
    <w:rPr>
      <w:noProof/>
      <w:color w:val="C00418" w:themeColor="accent1"/>
      <w:sz w:val="48"/>
    </w:rPr>
  </w:style>
  <w:style w:type="character" w:styleId="Strong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HeaderChar"/>
    <w:link w:val="Dokumententitel"/>
    <w:rsid w:val="00C00CC7"/>
    <w:rPr>
      <w:rFonts w:ascii="Arial" w:hAnsi="Arial"/>
      <w:noProof/>
      <w:color w:val="C00418" w:themeColor="accent1"/>
      <w:sz w:val="48"/>
    </w:rPr>
  </w:style>
  <w:style w:type="character" w:styleId="Emphasis">
    <w:name w:val="Emphasis"/>
    <w:basedOn w:val="DefaultParagraphFont"/>
    <w:uiPriority w:val="20"/>
    <w:qFormat/>
    <w:rsid w:val="00552AF7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063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348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348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48C"/>
    <w:rPr>
      <w:rFonts w:ascii="Arial" w:hAnsi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652D8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7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dy.lockhart@tgw-group.com" TargetMode="External"/><Relationship Id="rId25" Type="http://schemas.microsoft.com/office/2011/relationships/commentsExtended" Target="commentsExtended.xml"/><Relationship Id="rId26" Type="http://schemas.microsoft.com/office/2011/relationships/people" Target="people.xm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0038F5-2A33-2045-8E45-D0162FF1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892</Words>
  <Characters>5087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Sara Specter</cp:lastModifiedBy>
  <cp:revision>2</cp:revision>
  <cp:lastPrinted>2015-06-02T08:02:00Z</cp:lastPrinted>
  <dcterms:created xsi:type="dcterms:W3CDTF">2017-05-08T20:14:00Z</dcterms:created>
  <dcterms:modified xsi:type="dcterms:W3CDTF">2017-05-08T20:14:00Z</dcterms:modified>
</cp:coreProperties>
</file>